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F6B7" w14:textId="77777777" w:rsidR="00B0777F" w:rsidRDefault="00B0777F" w:rsidP="00482F43">
      <w:pPr>
        <w:jc w:val="center"/>
        <w:rPr>
          <w:sz w:val="32"/>
          <w:szCs w:val="32"/>
        </w:rPr>
      </w:pPr>
    </w:p>
    <w:p w14:paraId="03917B0A" w14:textId="40BCD224" w:rsidR="001F74A0" w:rsidRPr="00FD2C11" w:rsidRDefault="003664E4" w:rsidP="00386BE9">
      <w:pPr>
        <w:spacing w:after="120"/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A71D6DC" wp14:editId="19D2A2D0">
            <wp:simplePos x="0" y="0"/>
            <wp:positionH relativeFrom="margin">
              <wp:posOffset>-19050</wp:posOffset>
            </wp:positionH>
            <wp:positionV relativeFrom="margin">
              <wp:posOffset>-95250</wp:posOffset>
            </wp:positionV>
            <wp:extent cx="935355" cy="1485900"/>
            <wp:effectExtent l="0" t="0" r="0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F43" w:rsidRPr="00FD2C11">
        <w:rPr>
          <w:sz w:val="32"/>
          <w:szCs w:val="32"/>
        </w:rPr>
        <w:t xml:space="preserve">FORMULÁRIO DE </w:t>
      </w:r>
      <w:r w:rsidR="00791263">
        <w:rPr>
          <w:sz w:val="32"/>
          <w:szCs w:val="32"/>
        </w:rPr>
        <w:t>CONTRIBUIÇÕES</w:t>
      </w:r>
    </w:p>
    <w:p w14:paraId="7F29D6B8" w14:textId="77777777" w:rsidR="001F74A0" w:rsidRDefault="002808DC" w:rsidP="00386BE9">
      <w:pPr>
        <w:spacing w:after="120"/>
        <w:jc w:val="center"/>
        <w:rPr>
          <w:sz w:val="26"/>
          <w:szCs w:val="26"/>
        </w:rPr>
      </w:pPr>
      <w:r>
        <w:rPr>
          <w:sz w:val="26"/>
          <w:szCs w:val="26"/>
        </w:rPr>
        <w:t>CONSULTA PÚ</w:t>
      </w:r>
      <w:r w:rsidR="00482F43" w:rsidRPr="00BB004F">
        <w:rPr>
          <w:sz w:val="26"/>
          <w:szCs w:val="26"/>
        </w:rPr>
        <w:t xml:space="preserve">BLICA </w:t>
      </w:r>
      <w:proofErr w:type="gramStart"/>
      <w:r w:rsidR="00482F43" w:rsidRPr="00BB004F">
        <w:rPr>
          <w:sz w:val="26"/>
          <w:szCs w:val="26"/>
        </w:rPr>
        <w:t>N</w:t>
      </w:r>
      <w:r w:rsidR="00916255" w:rsidRPr="00916255">
        <w:rPr>
          <w:sz w:val="26"/>
          <w:szCs w:val="26"/>
          <w:u w:val="single"/>
          <w:vertAlign w:val="superscript"/>
        </w:rPr>
        <w:t>o</w:t>
      </w:r>
      <w:r w:rsidR="00C13A89">
        <w:rPr>
          <w:sz w:val="26"/>
          <w:szCs w:val="26"/>
        </w:rPr>
        <w:t xml:space="preserve"> </w:t>
      </w:r>
      <w:r w:rsidR="00482F43" w:rsidRPr="00BB004F">
        <w:rPr>
          <w:sz w:val="26"/>
          <w:szCs w:val="26"/>
        </w:rPr>
        <w:t xml:space="preserve"> </w:t>
      </w:r>
      <w:r w:rsidR="007866F9">
        <w:rPr>
          <w:sz w:val="26"/>
          <w:szCs w:val="26"/>
          <w:highlight w:val="yellow"/>
        </w:rPr>
        <w:t>11</w:t>
      </w:r>
      <w:proofErr w:type="gramEnd"/>
      <w:r w:rsidR="00482F43" w:rsidRPr="00D4342B">
        <w:rPr>
          <w:sz w:val="26"/>
          <w:szCs w:val="26"/>
          <w:highlight w:val="yellow"/>
        </w:rPr>
        <w:t>/</w:t>
      </w:r>
      <w:r w:rsidR="00426A1D" w:rsidRPr="00D4342B">
        <w:rPr>
          <w:sz w:val="26"/>
          <w:szCs w:val="26"/>
          <w:highlight w:val="yellow"/>
        </w:rPr>
        <w:t>202</w:t>
      </w:r>
      <w:r w:rsidR="00D91BC6" w:rsidRPr="00D4342B">
        <w:rPr>
          <w:sz w:val="26"/>
          <w:szCs w:val="26"/>
          <w:highlight w:val="yellow"/>
        </w:rPr>
        <w:t>3</w:t>
      </w:r>
    </w:p>
    <w:p w14:paraId="031F3D01" w14:textId="77777777" w:rsidR="00155BC8" w:rsidRDefault="00155BC8" w:rsidP="00155BC8">
      <w:pPr>
        <w:spacing w:after="120"/>
        <w:jc w:val="both"/>
        <w:rPr>
          <w:sz w:val="26"/>
          <w:szCs w:val="26"/>
        </w:rPr>
      </w:pPr>
    </w:p>
    <w:p w14:paraId="6073EFA8" w14:textId="77777777" w:rsidR="00155BC8" w:rsidRDefault="00155BC8" w:rsidP="00155BC8">
      <w:pPr>
        <w:spacing w:after="120"/>
        <w:jc w:val="both"/>
        <w:rPr>
          <w:sz w:val="26"/>
          <w:szCs w:val="26"/>
        </w:rPr>
      </w:pPr>
    </w:p>
    <w:p w14:paraId="5ABDE4E3" w14:textId="77777777" w:rsidR="00155BC8" w:rsidRDefault="00155BC8" w:rsidP="00155BC8">
      <w:pPr>
        <w:spacing w:after="120"/>
        <w:jc w:val="both"/>
        <w:rPr>
          <w:sz w:val="26"/>
          <w:szCs w:val="26"/>
        </w:rPr>
      </w:pPr>
    </w:p>
    <w:p w14:paraId="4202B5AD" w14:textId="77777777" w:rsidR="00E32489" w:rsidRPr="0015156E" w:rsidRDefault="00E32489" w:rsidP="00E32489">
      <w:pPr>
        <w:spacing w:after="120"/>
        <w:jc w:val="both"/>
        <w:rPr>
          <w:sz w:val="24"/>
          <w:szCs w:val="24"/>
        </w:rPr>
      </w:pPr>
      <w:r w:rsidRPr="0015156E">
        <w:rPr>
          <w:b/>
          <w:bCs/>
          <w:sz w:val="24"/>
          <w:szCs w:val="24"/>
        </w:rPr>
        <w:t>ASSUNTO:</w:t>
      </w:r>
      <w:r w:rsidRPr="0015156E">
        <w:rPr>
          <w:sz w:val="24"/>
          <w:szCs w:val="24"/>
        </w:rPr>
        <w:t xml:space="preserve"> </w:t>
      </w:r>
      <w:r w:rsidR="00D91BC6" w:rsidRPr="00D91BC6">
        <w:rPr>
          <w:rFonts w:ascii="Calibri" w:hAnsi="Calibri" w:cs="Calibri"/>
          <w:sz w:val="24"/>
          <w:szCs w:val="24"/>
        </w:rPr>
        <w:t>Minuta de resolução que dispõe sobre os requisitos e procedimentos para a acreditação pela ANP de organismos de certificação de conteúdo local de bens e serviços, revogando a Resolução ANP nº 869, de 22 de março de 2022, com o objetivo de aplicar a alternativa normativa disposta no RELATÓRIO DE ANÁLISE DE IMPACTO REGULATÓRIO nº 02/2022/SCL/ANP-RJ.</w:t>
      </w:r>
    </w:p>
    <w:p w14:paraId="7D00862F" w14:textId="77777777" w:rsidR="00E32489" w:rsidRDefault="00E32489" w:rsidP="00E32489">
      <w:pPr>
        <w:spacing w:after="120"/>
        <w:jc w:val="both"/>
        <w:rPr>
          <w:b/>
          <w:bCs/>
          <w:sz w:val="24"/>
          <w:szCs w:val="24"/>
        </w:rPr>
      </w:pPr>
    </w:p>
    <w:p w14:paraId="1828BF33" w14:textId="77777777" w:rsidR="00E32489" w:rsidRPr="0015156E" w:rsidRDefault="00E32489" w:rsidP="00E32489">
      <w:pPr>
        <w:spacing w:after="120"/>
        <w:jc w:val="both"/>
        <w:rPr>
          <w:b/>
          <w:bCs/>
          <w:sz w:val="24"/>
          <w:szCs w:val="24"/>
        </w:rPr>
      </w:pPr>
      <w:r w:rsidRPr="0015156E">
        <w:rPr>
          <w:b/>
          <w:bCs/>
          <w:sz w:val="24"/>
          <w:szCs w:val="24"/>
        </w:rPr>
        <w:t>IDENTIFICAÇÃO:</w:t>
      </w: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546"/>
      </w:tblGrid>
      <w:tr w:rsidR="00E32489" w:rsidRPr="004C599B" w14:paraId="0A56E5F1" w14:textId="77777777" w:rsidTr="00B91359">
        <w:tc>
          <w:tcPr>
            <w:tcW w:w="2694" w:type="dxa"/>
            <w:shd w:val="clear" w:color="auto" w:fill="auto"/>
            <w:vAlign w:val="center"/>
          </w:tcPr>
          <w:p w14:paraId="6E3BC065" w14:textId="77777777" w:rsidR="00E32489" w:rsidRPr="004C599B" w:rsidRDefault="00E32489" w:rsidP="00B9135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4C599B">
              <w:rPr>
                <w:b/>
                <w:bCs/>
                <w:sz w:val="24"/>
                <w:szCs w:val="24"/>
              </w:rPr>
              <w:t>Nome completo</w:t>
            </w:r>
          </w:p>
        </w:tc>
        <w:tc>
          <w:tcPr>
            <w:tcW w:w="7515" w:type="dxa"/>
            <w:gridSpan w:val="2"/>
            <w:shd w:val="clear" w:color="auto" w:fill="auto"/>
            <w:vAlign w:val="center"/>
          </w:tcPr>
          <w:p w14:paraId="0550DDBA" w14:textId="1F0F4125" w:rsidR="00E32489" w:rsidRPr="004C599B" w:rsidRDefault="00371B4B" w:rsidP="00B91359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Adrianno Farias Lorenzon</w:t>
            </w:r>
          </w:p>
        </w:tc>
      </w:tr>
      <w:tr w:rsidR="00E32489" w:rsidRPr="004C599B" w14:paraId="0706429A" w14:textId="77777777" w:rsidTr="00B91359">
        <w:tc>
          <w:tcPr>
            <w:tcW w:w="2694" w:type="dxa"/>
            <w:shd w:val="clear" w:color="auto" w:fill="auto"/>
            <w:vAlign w:val="center"/>
          </w:tcPr>
          <w:p w14:paraId="42BFF8F6" w14:textId="77777777" w:rsidR="00E32489" w:rsidRPr="004C599B" w:rsidRDefault="00E32489" w:rsidP="00B9135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4C599B">
              <w:rPr>
                <w:b/>
                <w:bCs/>
                <w:sz w:val="24"/>
                <w:szCs w:val="24"/>
              </w:rPr>
              <w:t>Representa alguma empresa, organização, associação etc.?</w:t>
            </w:r>
          </w:p>
        </w:tc>
        <w:tc>
          <w:tcPr>
            <w:tcW w:w="7515" w:type="dxa"/>
            <w:gridSpan w:val="2"/>
            <w:shd w:val="clear" w:color="auto" w:fill="auto"/>
            <w:vAlign w:val="center"/>
          </w:tcPr>
          <w:p w14:paraId="59BEC7DD" w14:textId="391CA428" w:rsidR="00E32489" w:rsidRPr="004C599B" w:rsidRDefault="00371B4B" w:rsidP="00B91359">
            <w:pPr>
              <w:pStyle w:val="Legend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sim</w:t>
            </w:r>
          </w:p>
        </w:tc>
      </w:tr>
      <w:tr w:rsidR="00E32489" w:rsidRPr="004C599B" w14:paraId="336863EB" w14:textId="77777777" w:rsidTr="00B91359">
        <w:tc>
          <w:tcPr>
            <w:tcW w:w="2694" w:type="dxa"/>
            <w:shd w:val="clear" w:color="auto" w:fill="auto"/>
            <w:vAlign w:val="center"/>
          </w:tcPr>
          <w:p w14:paraId="1635D534" w14:textId="77777777" w:rsidR="00E32489" w:rsidRPr="004C599B" w:rsidRDefault="00E32489" w:rsidP="00B9135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4C599B">
              <w:rPr>
                <w:b/>
                <w:bCs/>
                <w:sz w:val="24"/>
                <w:szCs w:val="24"/>
              </w:rPr>
              <w:t>Perfil</w:t>
            </w:r>
          </w:p>
        </w:tc>
        <w:tc>
          <w:tcPr>
            <w:tcW w:w="3969" w:type="dxa"/>
            <w:tcBorders>
              <w:right w:val="nil"/>
            </w:tcBorders>
            <w:shd w:val="clear" w:color="auto" w:fill="auto"/>
            <w:vAlign w:val="center"/>
          </w:tcPr>
          <w:p w14:paraId="2A40FBC4" w14:textId="77777777" w:rsidR="00E32489" w:rsidRPr="004C599B" w:rsidRDefault="00E32489" w:rsidP="00B91359">
            <w:pPr>
              <w:pStyle w:val="Legenda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4C599B">
              <w:rPr>
                <w:rFonts w:ascii="Times New Roman" w:hAnsi="Times New Roman"/>
                <w:color w:val="000000"/>
                <w:szCs w:val="24"/>
              </w:rPr>
              <w:t>(  )</w:t>
            </w:r>
            <w:proofErr w:type="gramEnd"/>
            <w:r w:rsidRPr="004C599B">
              <w:rPr>
                <w:rFonts w:ascii="Times New Roman" w:hAnsi="Times New Roman"/>
                <w:color w:val="000000"/>
                <w:szCs w:val="24"/>
              </w:rPr>
              <w:t xml:space="preserve"> agente econômico</w:t>
            </w:r>
          </w:p>
          <w:p w14:paraId="1A0759CF" w14:textId="77777777" w:rsidR="00E32489" w:rsidRPr="004C599B" w:rsidRDefault="00E32489" w:rsidP="00B91359">
            <w:pPr>
              <w:pStyle w:val="Legenda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4C599B">
              <w:rPr>
                <w:rFonts w:ascii="Times New Roman" w:hAnsi="Times New Roman"/>
                <w:color w:val="000000"/>
                <w:szCs w:val="24"/>
              </w:rPr>
              <w:t>(  )</w:t>
            </w:r>
            <w:proofErr w:type="gramEnd"/>
            <w:r w:rsidRPr="004C599B">
              <w:rPr>
                <w:rFonts w:ascii="Times New Roman" w:hAnsi="Times New Roman"/>
                <w:color w:val="000000"/>
                <w:szCs w:val="24"/>
              </w:rPr>
              <w:t xml:space="preserve"> consumidor ou usuário de serviços</w:t>
            </w:r>
          </w:p>
          <w:p w14:paraId="270D183E" w14:textId="77777777" w:rsidR="00E32489" w:rsidRPr="004C599B" w:rsidRDefault="00E32489" w:rsidP="00B91359">
            <w:pPr>
              <w:rPr>
                <w:color w:val="000000"/>
                <w:sz w:val="24"/>
                <w:szCs w:val="24"/>
              </w:rPr>
            </w:pPr>
            <w:proofErr w:type="gramStart"/>
            <w:r w:rsidRPr="004C599B">
              <w:rPr>
                <w:color w:val="000000"/>
                <w:sz w:val="24"/>
                <w:szCs w:val="24"/>
              </w:rPr>
              <w:t>(  )</w:t>
            </w:r>
            <w:proofErr w:type="gramEnd"/>
            <w:r w:rsidRPr="004C599B">
              <w:rPr>
                <w:color w:val="000000"/>
                <w:sz w:val="24"/>
                <w:szCs w:val="24"/>
              </w:rPr>
              <w:t xml:space="preserve"> </w:t>
            </w:r>
            <w:r w:rsidRPr="004C599B">
              <w:rPr>
                <w:sz w:val="24"/>
                <w:szCs w:val="24"/>
              </w:rPr>
              <w:t>representante de instituição governamental</w:t>
            </w:r>
          </w:p>
          <w:p w14:paraId="3C67C549" w14:textId="77777777" w:rsidR="00E32489" w:rsidRPr="004C599B" w:rsidRDefault="00E32489" w:rsidP="00B91359">
            <w:pPr>
              <w:rPr>
                <w:color w:val="000000"/>
                <w:sz w:val="24"/>
                <w:szCs w:val="24"/>
              </w:rPr>
            </w:pPr>
            <w:proofErr w:type="gramStart"/>
            <w:r w:rsidRPr="004C599B">
              <w:rPr>
                <w:sz w:val="24"/>
                <w:szCs w:val="24"/>
              </w:rPr>
              <w:t>(  )</w:t>
            </w:r>
            <w:proofErr w:type="gramEnd"/>
            <w:r w:rsidRPr="004C599B">
              <w:rPr>
                <w:sz w:val="24"/>
                <w:szCs w:val="24"/>
              </w:rPr>
              <w:t xml:space="preserve"> </w:t>
            </w:r>
            <w:r w:rsidRPr="004C599B">
              <w:rPr>
                <w:color w:val="000000"/>
                <w:sz w:val="24"/>
                <w:szCs w:val="24"/>
              </w:rPr>
              <w:t>organização não governamental (ONG)</w:t>
            </w:r>
          </w:p>
        </w:tc>
        <w:tc>
          <w:tcPr>
            <w:tcW w:w="3544" w:type="dxa"/>
            <w:tcBorders>
              <w:left w:val="nil"/>
            </w:tcBorders>
            <w:shd w:val="clear" w:color="auto" w:fill="auto"/>
            <w:vAlign w:val="center"/>
          </w:tcPr>
          <w:p w14:paraId="74085549" w14:textId="1AD25E49" w:rsidR="00E32489" w:rsidRPr="004C599B" w:rsidRDefault="00E32489" w:rsidP="00B91359">
            <w:pPr>
              <w:rPr>
                <w:sz w:val="24"/>
                <w:szCs w:val="24"/>
              </w:rPr>
            </w:pPr>
            <w:proofErr w:type="gramStart"/>
            <w:r w:rsidRPr="004C599B">
              <w:rPr>
                <w:sz w:val="24"/>
                <w:szCs w:val="24"/>
              </w:rPr>
              <w:t xml:space="preserve">( </w:t>
            </w:r>
            <w:r w:rsidR="00371B4B">
              <w:rPr>
                <w:sz w:val="24"/>
                <w:szCs w:val="24"/>
              </w:rPr>
              <w:t>x</w:t>
            </w:r>
            <w:proofErr w:type="gramEnd"/>
            <w:r w:rsidRPr="004C599B">
              <w:rPr>
                <w:sz w:val="24"/>
                <w:szCs w:val="24"/>
              </w:rPr>
              <w:t xml:space="preserve"> ) representante de órgão de classe ou associação</w:t>
            </w:r>
          </w:p>
          <w:p w14:paraId="7EBCD491" w14:textId="77777777" w:rsidR="00E32489" w:rsidRPr="004C599B" w:rsidRDefault="00E32489" w:rsidP="00B91359">
            <w:pPr>
              <w:rPr>
                <w:sz w:val="24"/>
                <w:szCs w:val="24"/>
              </w:rPr>
            </w:pPr>
            <w:proofErr w:type="gramStart"/>
            <w:r w:rsidRPr="004C599B">
              <w:rPr>
                <w:sz w:val="24"/>
                <w:szCs w:val="24"/>
              </w:rPr>
              <w:t>(  )</w:t>
            </w:r>
            <w:proofErr w:type="gramEnd"/>
            <w:r w:rsidRPr="004C599B">
              <w:rPr>
                <w:sz w:val="24"/>
                <w:szCs w:val="24"/>
              </w:rPr>
              <w:t xml:space="preserve"> representante de órgãos de defesa do consumidor</w:t>
            </w:r>
          </w:p>
          <w:p w14:paraId="2D33B30A" w14:textId="77777777" w:rsidR="00E32489" w:rsidRPr="004C599B" w:rsidRDefault="00E32489" w:rsidP="00B91359">
            <w:pPr>
              <w:rPr>
                <w:sz w:val="24"/>
                <w:szCs w:val="24"/>
              </w:rPr>
            </w:pPr>
            <w:proofErr w:type="gramStart"/>
            <w:r w:rsidRPr="004C599B">
              <w:rPr>
                <w:sz w:val="24"/>
                <w:szCs w:val="24"/>
              </w:rPr>
              <w:t>(  )</w:t>
            </w:r>
            <w:proofErr w:type="gramEnd"/>
            <w:r w:rsidRPr="004C599B">
              <w:rPr>
                <w:sz w:val="24"/>
                <w:szCs w:val="24"/>
              </w:rPr>
              <w:t xml:space="preserve"> outro</w:t>
            </w:r>
          </w:p>
        </w:tc>
      </w:tr>
      <w:tr w:rsidR="00E32489" w:rsidRPr="004C599B" w14:paraId="2A070F4B" w14:textId="77777777" w:rsidTr="00B91359">
        <w:tc>
          <w:tcPr>
            <w:tcW w:w="2694" w:type="dxa"/>
            <w:shd w:val="clear" w:color="auto" w:fill="auto"/>
            <w:vAlign w:val="center"/>
          </w:tcPr>
          <w:p w14:paraId="46CE0DAE" w14:textId="77777777" w:rsidR="00E32489" w:rsidRPr="004C599B" w:rsidRDefault="00E32489" w:rsidP="00B9135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4C599B">
              <w:rPr>
                <w:b/>
                <w:bCs/>
                <w:sz w:val="24"/>
                <w:szCs w:val="24"/>
              </w:rPr>
              <w:t>Nome da organização</w:t>
            </w:r>
          </w:p>
        </w:tc>
        <w:tc>
          <w:tcPr>
            <w:tcW w:w="7515" w:type="dxa"/>
            <w:gridSpan w:val="2"/>
            <w:shd w:val="clear" w:color="auto" w:fill="auto"/>
            <w:vAlign w:val="center"/>
          </w:tcPr>
          <w:p w14:paraId="69EFA7D9" w14:textId="2D2AE70B" w:rsidR="00E32489" w:rsidRPr="004C599B" w:rsidRDefault="00371B4B" w:rsidP="00B91359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ABRACE Energia</w:t>
            </w:r>
          </w:p>
        </w:tc>
      </w:tr>
    </w:tbl>
    <w:p w14:paraId="6BE27374" w14:textId="77777777" w:rsidR="00E32489" w:rsidRPr="0015156E" w:rsidRDefault="00E32489" w:rsidP="00E32489">
      <w:pPr>
        <w:spacing w:before="120" w:after="120"/>
        <w:jc w:val="both"/>
        <w:rPr>
          <w:sz w:val="26"/>
          <w:szCs w:val="26"/>
        </w:rPr>
      </w:pPr>
    </w:p>
    <w:p w14:paraId="697426B8" w14:textId="77777777" w:rsidR="00E32489" w:rsidRPr="0015156E" w:rsidRDefault="00E32489" w:rsidP="00E32489">
      <w:pPr>
        <w:spacing w:after="120"/>
        <w:rPr>
          <w:b/>
          <w:bCs/>
          <w:sz w:val="24"/>
          <w:szCs w:val="24"/>
        </w:rPr>
      </w:pPr>
      <w:r w:rsidRPr="0015156E">
        <w:rPr>
          <w:b/>
          <w:bCs/>
          <w:sz w:val="24"/>
          <w:szCs w:val="24"/>
        </w:rPr>
        <w:t>CONTRIBUIÇÕES:</w:t>
      </w:r>
    </w:p>
    <w:tbl>
      <w:tblPr>
        <w:tblW w:w="14034" w:type="dxa"/>
        <w:tblInd w:w="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252"/>
        <w:gridCol w:w="5954"/>
      </w:tblGrid>
      <w:tr w:rsidR="00E32489" w:rsidRPr="0015156E" w14:paraId="23CF05A1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FE4B2B" w14:textId="77777777" w:rsidR="00E32489" w:rsidRPr="0015156E" w:rsidRDefault="008265A0" w:rsidP="008265A0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bCs/>
              </w:rPr>
              <w:t>DISPOSITIVO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9680CB" w14:textId="77777777" w:rsidR="00E32489" w:rsidRPr="0015156E" w:rsidRDefault="00E32489" w:rsidP="00B91359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bCs/>
              </w:rPr>
              <w:t>MANIFESTAÇÃO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D7D338" w14:textId="77777777" w:rsidR="00E32489" w:rsidRPr="0015156E" w:rsidRDefault="00E32489" w:rsidP="00B91359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15156E">
              <w:rPr>
                <w:bCs/>
              </w:rPr>
              <w:t>JUSTIFICATIVA</w:t>
            </w:r>
          </w:p>
        </w:tc>
      </w:tr>
      <w:tr w:rsidR="004F4E82" w:rsidRPr="0015156E" w14:paraId="75DF99D7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CB03E0" w14:textId="77777777" w:rsidR="004F4E82" w:rsidRDefault="004F4E82" w:rsidP="004F4E82">
            <w:pPr>
              <w:jc w:val="both"/>
              <w:rPr>
                <w:bCs/>
              </w:rPr>
            </w:pPr>
            <w:r>
              <w:rPr>
                <w:bCs/>
              </w:rPr>
              <w:t xml:space="preserve">Art. 1 </w:t>
            </w:r>
          </w:p>
          <w:p w14:paraId="4E9C7583" w14:textId="60AAFD61" w:rsidR="004F4E82" w:rsidRDefault="004F4E82" w:rsidP="004F4E82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0AB8A5ED" w14:textId="77777777" w:rsidR="004F4E82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t>VI – Chamada Pública: procedimento, com garantia de acesso a todos os interessados, que tem por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finalidade estimar a demanda efetiva por serviços de transporte de gás natural em gasodutos a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serem construídos ou ampliados</w:t>
            </w:r>
            <w:r>
              <w:rPr>
                <w:bCs/>
              </w:rPr>
              <w:t>.</w:t>
            </w:r>
          </w:p>
          <w:p w14:paraId="2D3579BF" w14:textId="77777777" w:rsidR="004F4E82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lastRenderedPageBreak/>
              <w:t>XI-A - Processo de Chamada Pública: procedimento, com garantia de acesso a todos os interessados,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que tem por finalidade estimar a demanda efetiva por serviços de transporte de gás natural 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contratar capacidade de transporte firme em gasodutos a serem construídos ou ampliados;</w:t>
            </w:r>
          </w:p>
          <w:p w14:paraId="5817B5BF" w14:textId="7FF0BC8C" w:rsidR="004F4E82" w:rsidRPr="0015156E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t>XI-B - Processo de Oferta e Contratação de Capacidade: procedimento, com garantia de acesso a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todos os interessados, que tem por finalidade contratar capacidade de transporte firme em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gasodutos existentes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E8A30" w14:textId="77777777" w:rsidR="004F4E82" w:rsidRDefault="004F4E82" w:rsidP="004F4E82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Art. 1 </w:t>
            </w:r>
          </w:p>
          <w:p w14:paraId="54D85091" w14:textId="77777777" w:rsidR="004F4E82" w:rsidRDefault="004F4E82" w:rsidP="004F4E82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16F09D25" w14:textId="79CF138C" w:rsidR="004F4E82" w:rsidRDefault="004F4E82" w:rsidP="004F4E82">
            <w:pPr>
              <w:jc w:val="both"/>
              <w:rPr>
                <w:bCs/>
                <w:color w:val="FF0000"/>
              </w:rPr>
            </w:pPr>
            <w:r w:rsidRPr="004F4E82">
              <w:rPr>
                <w:bCs/>
              </w:rPr>
              <w:t xml:space="preserve">VI – Chamada Pública: procedimento, com garantia de acesso </w:t>
            </w:r>
            <w:r w:rsidRPr="004F4E82">
              <w:rPr>
                <w:bCs/>
                <w:color w:val="FF0000"/>
              </w:rPr>
              <w:t>isonômico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a todos os interessados, que tem por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finalidade estimar a demanda efetiva por serviços de transporte de gás natural </w:t>
            </w:r>
            <w:r w:rsidRPr="00917C4E">
              <w:rPr>
                <w:bCs/>
                <w:strike/>
                <w:color w:val="FF0000"/>
              </w:rPr>
              <w:t xml:space="preserve">em gasodutos a serem </w:t>
            </w:r>
            <w:r w:rsidRPr="00917C4E">
              <w:rPr>
                <w:bCs/>
                <w:strike/>
                <w:color w:val="FF0000"/>
              </w:rPr>
              <w:lastRenderedPageBreak/>
              <w:t>construídos ou ampliados</w:t>
            </w:r>
            <w:r w:rsidR="00917C4E">
              <w:rPr>
                <w:bCs/>
                <w:strike/>
                <w:color w:val="FF0000"/>
              </w:rPr>
              <w:t xml:space="preserve"> </w:t>
            </w:r>
            <w:r w:rsidR="00477D7D">
              <w:rPr>
                <w:bCs/>
                <w:color w:val="FF0000"/>
              </w:rPr>
              <w:t xml:space="preserve">referente a </w:t>
            </w:r>
            <w:r w:rsidR="00AC3B37">
              <w:rPr>
                <w:bCs/>
                <w:color w:val="FF0000"/>
              </w:rPr>
              <w:t xml:space="preserve">aumento de capacidade fruto de </w:t>
            </w:r>
            <w:r w:rsidR="00507745">
              <w:rPr>
                <w:bCs/>
                <w:color w:val="FF0000"/>
              </w:rPr>
              <w:t xml:space="preserve">investimentos. </w:t>
            </w:r>
          </w:p>
          <w:p w14:paraId="2F9792E8" w14:textId="77777777" w:rsidR="00507745" w:rsidRPr="00917C4E" w:rsidRDefault="00507745" w:rsidP="004F4E82">
            <w:pPr>
              <w:jc w:val="both"/>
              <w:rPr>
                <w:bCs/>
                <w:color w:val="FF0000"/>
              </w:rPr>
            </w:pPr>
          </w:p>
          <w:p w14:paraId="506DE5F5" w14:textId="2DF96231" w:rsidR="004F4E82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t xml:space="preserve">XI-A - Processo de Chamada Pública: procedimento, com garantia de acesso </w:t>
            </w:r>
            <w:r w:rsidRPr="004F4E82">
              <w:rPr>
                <w:bCs/>
                <w:color w:val="FF0000"/>
              </w:rPr>
              <w:t>isonômico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a todos os interessados,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que tem por finalidade estimar a demanda efetiva por serviços de transporte de gás natural 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contratar capacidade de transporte firme </w:t>
            </w:r>
            <w:r w:rsidRPr="00507745">
              <w:rPr>
                <w:bCs/>
                <w:strike/>
                <w:color w:val="FF0000"/>
              </w:rPr>
              <w:t>em gasodutos a serem construídos ou ampliados</w:t>
            </w:r>
            <w:r w:rsidR="00507745">
              <w:rPr>
                <w:bCs/>
                <w:color w:val="FF0000"/>
              </w:rPr>
              <w:t xml:space="preserve"> referente a aumento de capacidade fruto de investimentos</w:t>
            </w:r>
            <w:r w:rsidRPr="004F4E82">
              <w:rPr>
                <w:bCs/>
              </w:rPr>
              <w:t>;</w:t>
            </w:r>
          </w:p>
          <w:p w14:paraId="3F895FD7" w14:textId="77777777" w:rsidR="00507745" w:rsidRDefault="00507745" w:rsidP="004F4E82">
            <w:pPr>
              <w:jc w:val="both"/>
              <w:rPr>
                <w:bCs/>
              </w:rPr>
            </w:pPr>
          </w:p>
          <w:p w14:paraId="20A44C70" w14:textId="58D4B666" w:rsidR="004F4E82" w:rsidRPr="0015156E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t xml:space="preserve">XI-B - Processo de Oferta e Contratação de Capacidade: procedimento, com garantia de acesso </w:t>
            </w:r>
            <w:r w:rsidRPr="004F4E82">
              <w:rPr>
                <w:bCs/>
                <w:color w:val="FF0000"/>
              </w:rPr>
              <w:t>isonômico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a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todos os interessados, que tem por finalidade contratar capacidade de transporte firme em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gasodutos existentes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565F56" w14:textId="77777777" w:rsidR="004F4E82" w:rsidRDefault="00607DF1" w:rsidP="004F4E82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Inclusão do termo “isonômico” nas definições de forma a explicitar que todos os carregadores terão </w:t>
            </w:r>
            <w:r w:rsidR="00946DC6">
              <w:rPr>
                <w:bCs/>
              </w:rPr>
              <w:t>acesso às capacidades de transporte em condições igualitárias.</w:t>
            </w:r>
          </w:p>
          <w:p w14:paraId="5AE13D82" w14:textId="77777777" w:rsidR="00507745" w:rsidRDefault="00507745" w:rsidP="004F4E82">
            <w:pPr>
              <w:jc w:val="both"/>
              <w:rPr>
                <w:bCs/>
              </w:rPr>
            </w:pPr>
          </w:p>
          <w:p w14:paraId="5A151551" w14:textId="3E97FD72" w:rsidR="00507745" w:rsidRPr="0015156E" w:rsidRDefault="00507745" w:rsidP="004F4E82">
            <w:pPr>
              <w:jc w:val="both"/>
              <w:rPr>
                <w:bCs/>
              </w:rPr>
            </w:pPr>
            <w:r>
              <w:rPr>
                <w:bCs/>
              </w:rPr>
              <w:t xml:space="preserve">Além disso, sugerimos dar maior clareza </w:t>
            </w:r>
            <w:r w:rsidR="00790A29">
              <w:rPr>
                <w:bCs/>
              </w:rPr>
              <w:t xml:space="preserve">às situações em que se enquadram as Chamadas Públicas (e </w:t>
            </w:r>
            <w:r w:rsidR="0012337B">
              <w:rPr>
                <w:bCs/>
              </w:rPr>
              <w:t xml:space="preserve">Processo de chamada publica). Para isso, propomos alterar a redação, sendo </w:t>
            </w:r>
            <w:r w:rsidR="00E205A8">
              <w:rPr>
                <w:bCs/>
              </w:rPr>
              <w:t xml:space="preserve">enquadrado em qualquer oferta de </w:t>
            </w:r>
            <w:r w:rsidR="00E205A8">
              <w:rPr>
                <w:bCs/>
              </w:rPr>
              <w:lastRenderedPageBreak/>
              <w:t xml:space="preserve">capacidade adicional fruto de investimentos pelo transportador. Pode ser, por exemplo, uma estação de compressão, que para ser </w:t>
            </w:r>
            <w:r w:rsidR="00A150A4">
              <w:rPr>
                <w:bCs/>
              </w:rPr>
              <w:t>autorizada, precisa de passar pelo teste de viabilidade.</w:t>
            </w:r>
          </w:p>
        </w:tc>
      </w:tr>
      <w:tr w:rsidR="004F4E82" w:rsidRPr="0015156E" w14:paraId="0646A77D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10A0C7" w14:textId="77777777" w:rsidR="004F4E82" w:rsidRDefault="004F4E82" w:rsidP="004F4E8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Art</w:t>
            </w:r>
            <w:proofErr w:type="spellEnd"/>
            <w:r>
              <w:rPr>
                <w:bCs/>
              </w:rPr>
              <w:t xml:space="preserve"> 1</w:t>
            </w:r>
          </w:p>
          <w:p w14:paraId="48309367" w14:textId="77777777" w:rsidR="004F4E82" w:rsidRDefault="004F4E82" w:rsidP="004F4E82">
            <w:pPr>
              <w:jc w:val="both"/>
              <w:rPr>
                <w:bCs/>
              </w:rPr>
            </w:pPr>
            <w:r>
              <w:rPr>
                <w:bCs/>
              </w:rPr>
              <w:t>“art. 16</w:t>
            </w:r>
          </w:p>
          <w:p w14:paraId="1E1DD002" w14:textId="24D4FC4E" w:rsidR="004F4E82" w:rsidRPr="0015156E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t xml:space="preserve">I - </w:t>
            </w:r>
            <w:proofErr w:type="gramStart"/>
            <w:r w:rsidRPr="004F4E82">
              <w:rPr>
                <w:bCs/>
              </w:rPr>
              <w:t>o</w:t>
            </w:r>
            <w:proofErr w:type="gramEnd"/>
            <w:r w:rsidRPr="004F4E82">
              <w:rPr>
                <w:bCs/>
              </w:rPr>
              <w:t xml:space="preserve"> amplo acesso, e de forma não discriminatória, às informações de capacidades disponíveis 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ociosas, bem como das Tarifas de Transporte aplicáveis a cada modalidade de Serviço de Transporte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e os prazos dos Contratos de Serviço de Transporte vigentes;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62C841" w14:textId="77777777" w:rsidR="004F4E82" w:rsidRDefault="004F4E82" w:rsidP="004F4E8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1</w:t>
            </w:r>
          </w:p>
          <w:p w14:paraId="08A91DE3" w14:textId="77777777" w:rsidR="004F4E82" w:rsidRDefault="004F4E82" w:rsidP="004F4E82">
            <w:pPr>
              <w:jc w:val="both"/>
              <w:rPr>
                <w:bCs/>
              </w:rPr>
            </w:pPr>
            <w:r>
              <w:rPr>
                <w:bCs/>
              </w:rPr>
              <w:t>“art. 16</w:t>
            </w:r>
          </w:p>
          <w:p w14:paraId="78C19CCA" w14:textId="2DA0AD7F" w:rsidR="004F4E82" w:rsidRPr="0015156E" w:rsidRDefault="004F4E82" w:rsidP="004F4E82">
            <w:pPr>
              <w:jc w:val="both"/>
              <w:rPr>
                <w:bCs/>
              </w:rPr>
            </w:pPr>
            <w:r w:rsidRPr="004F4E82">
              <w:rPr>
                <w:bCs/>
              </w:rPr>
              <w:t xml:space="preserve">I - </w:t>
            </w:r>
            <w:proofErr w:type="gramStart"/>
            <w:r w:rsidRPr="004F4E82">
              <w:rPr>
                <w:bCs/>
              </w:rPr>
              <w:t>o</w:t>
            </w:r>
            <w:proofErr w:type="gramEnd"/>
            <w:r w:rsidRPr="004F4E82">
              <w:rPr>
                <w:bCs/>
              </w:rPr>
              <w:t xml:space="preserve"> amplo acesso, e de forma não discriminatória, às informações de capacidades </w:t>
            </w:r>
            <w:r w:rsidR="00742BDB" w:rsidRPr="00742BDB">
              <w:rPr>
                <w:bCs/>
                <w:color w:val="FF0000"/>
              </w:rPr>
              <w:t>t</w:t>
            </w:r>
            <w:r w:rsidR="00742BDB">
              <w:rPr>
                <w:bCs/>
                <w:color w:val="FF0000"/>
              </w:rPr>
              <w:t>écnicas</w:t>
            </w:r>
            <w:r>
              <w:rPr>
                <w:bCs/>
              </w:rPr>
              <w:t xml:space="preserve">, </w:t>
            </w:r>
            <w:r w:rsidRPr="004F4E82">
              <w:rPr>
                <w:bCs/>
              </w:rPr>
              <w:t>disponíveis</w:t>
            </w:r>
            <w:r>
              <w:rPr>
                <w:bCs/>
              </w:rPr>
              <w:t xml:space="preserve">, </w:t>
            </w:r>
            <w:r w:rsidRPr="004F4E82">
              <w:rPr>
                <w:bCs/>
                <w:color w:val="FF0000"/>
              </w:rPr>
              <w:t>contratadas</w:t>
            </w:r>
            <w:r w:rsidRPr="004F4E82">
              <w:rPr>
                <w:bCs/>
              </w:rPr>
              <w:t xml:space="preserve"> 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ociosas</w:t>
            </w:r>
            <w:r w:rsidR="007837E3">
              <w:rPr>
                <w:bCs/>
              </w:rPr>
              <w:t xml:space="preserve">, </w:t>
            </w:r>
            <w:r w:rsidR="007837E3" w:rsidRPr="001E7355">
              <w:rPr>
                <w:bCs/>
                <w:color w:val="FF0000"/>
              </w:rPr>
              <w:t>meto</w:t>
            </w:r>
            <w:r w:rsidR="001E7355" w:rsidRPr="001E7355">
              <w:rPr>
                <w:bCs/>
                <w:color w:val="FF0000"/>
              </w:rPr>
              <w:t>dologias de cálculo das capacidades</w:t>
            </w:r>
            <w:r w:rsidRPr="004F4E82">
              <w:rPr>
                <w:bCs/>
              </w:rPr>
              <w:t>, bem como das Tarifas de Transporte aplicáveis a cada modalidade de Serviço de Transporte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e os prazos dos Contratos de Serviço de Transporte vigentes;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A8D6D6" w14:textId="4C88349D" w:rsidR="004F4E82" w:rsidRPr="0015156E" w:rsidRDefault="004213EE" w:rsidP="004F4E82">
            <w:pPr>
              <w:jc w:val="both"/>
              <w:rPr>
                <w:bCs/>
              </w:rPr>
            </w:pPr>
            <w:r>
              <w:rPr>
                <w:bCs/>
              </w:rPr>
              <w:t xml:space="preserve">Inclusão de outras informações que devem ser disponibilizadas </w:t>
            </w:r>
            <w:r w:rsidR="00F57B17">
              <w:rPr>
                <w:bCs/>
              </w:rPr>
              <w:t>pelos transportadores</w:t>
            </w:r>
            <w:r w:rsidR="004F4515">
              <w:rPr>
                <w:bCs/>
              </w:rPr>
              <w:t>. É</w:t>
            </w:r>
            <w:r w:rsidR="00F57B17">
              <w:rPr>
                <w:bCs/>
              </w:rPr>
              <w:t xml:space="preserve"> direito dos carregadores terem acesso </w:t>
            </w:r>
            <w:r w:rsidR="004F4515">
              <w:rPr>
                <w:bCs/>
              </w:rPr>
              <w:t>às capacidades técnicas dos gasodutos, bem como às capacidades contratadas.</w:t>
            </w:r>
          </w:p>
        </w:tc>
      </w:tr>
      <w:tr w:rsidR="004F4E82" w:rsidRPr="0015156E" w14:paraId="6AB76342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AF7895" w14:textId="77777777" w:rsidR="004F4E82" w:rsidRDefault="00CC415C" w:rsidP="004F4E82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23B31C39" w14:textId="77777777" w:rsidR="00CC415C" w:rsidRDefault="00A56343" w:rsidP="004F4E82">
            <w:pPr>
              <w:jc w:val="both"/>
              <w:rPr>
                <w:bCs/>
              </w:rPr>
            </w:pPr>
            <w:r>
              <w:rPr>
                <w:bCs/>
              </w:rPr>
              <w:t xml:space="preserve">“art. 2 </w:t>
            </w:r>
          </w:p>
          <w:p w14:paraId="2C6F3246" w14:textId="77777777" w:rsidR="00A56343" w:rsidRDefault="00A56343" w:rsidP="00A56343">
            <w:pPr>
              <w:jc w:val="both"/>
              <w:rPr>
                <w:bCs/>
              </w:rPr>
            </w:pPr>
            <w:r w:rsidRPr="00A56343">
              <w:rPr>
                <w:bCs/>
              </w:rPr>
              <w:t>XVI - Chamada Pública: procedimento, com garantia de acesso a todos os interessados, que tem por</w:t>
            </w:r>
            <w:r>
              <w:rPr>
                <w:bCs/>
              </w:rPr>
              <w:t xml:space="preserve"> </w:t>
            </w:r>
            <w:r w:rsidRPr="00A56343">
              <w:rPr>
                <w:bCs/>
              </w:rPr>
              <w:t>finalidade estimar a demanda efetiva por serviços de transporte de gás natural em gasodutos a</w:t>
            </w:r>
            <w:r>
              <w:rPr>
                <w:bCs/>
              </w:rPr>
              <w:t xml:space="preserve"> </w:t>
            </w:r>
            <w:r w:rsidRPr="00A56343">
              <w:rPr>
                <w:bCs/>
              </w:rPr>
              <w:t>serem construídos ou ampliado</w:t>
            </w:r>
            <w:r>
              <w:rPr>
                <w:bCs/>
              </w:rPr>
              <w:t>s</w:t>
            </w:r>
          </w:p>
          <w:p w14:paraId="30FF1966" w14:textId="77777777" w:rsidR="00D65F18" w:rsidRDefault="00D65F18" w:rsidP="00A56343">
            <w:pPr>
              <w:jc w:val="both"/>
              <w:rPr>
                <w:bCs/>
              </w:rPr>
            </w:pPr>
          </w:p>
          <w:p w14:paraId="073A6341" w14:textId="06A1D2BD" w:rsidR="00D65F18" w:rsidRPr="00D65F18" w:rsidRDefault="00D65F18" w:rsidP="00D65F18">
            <w:pPr>
              <w:jc w:val="both"/>
              <w:rPr>
                <w:bCs/>
              </w:rPr>
            </w:pPr>
            <w:r w:rsidRPr="00D65F18">
              <w:rPr>
                <w:bCs/>
              </w:rPr>
              <w:t>XXXIV-A - Processo de Chamada Pública: procedimento, com garantia de acesso a todos os</w:t>
            </w:r>
            <w:r>
              <w:rPr>
                <w:bCs/>
              </w:rPr>
              <w:t xml:space="preserve"> </w:t>
            </w:r>
            <w:r w:rsidRPr="00D65F18">
              <w:rPr>
                <w:bCs/>
              </w:rPr>
              <w:t>interessados, que tem por finalidade estimar a demanda efetiva por serviços de transporte de gás</w:t>
            </w:r>
            <w:r>
              <w:rPr>
                <w:bCs/>
              </w:rPr>
              <w:t xml:space="preserve"> </w:t>
            </w:r>
            <w:r w:rsidRPr="00D65F18">
              <w:rPr>
                <w:bCs/>
              </w:rPr>
              <w:t>natural e contratar capacidade de transporte firme em gasodutos a serem construídos ou</w:t>
            </w:r>
          </w:p>
          <w:p w14:paraId="3F72C0CA" w14:textId="65FE78B9" w:rsidR="00D65F18" w:rsidRDefault="00D65F18" w:rsidP="00D65F18">
            <w:pPr>
              <w:jc w:val="both"/>
              <w:rPr>
                <w:bCs/>
              </w:rPr>
            </w:pPr>
            <w:r w:rsidRPr="00D65F18">
              <w:rPr>
                <w:bCs/>
              </w:rPr>
              <w:t>ampliados;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B96EE8" w14:textId="77777777" w:rsidR="00D65F18" w:rsidRDefault="00D65F18" w:rsidP="00D65F18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7AE06F54" w14:textId="77777777" w:rsidR="00D65F18" w:rsidRDefault="00D65F18" w:rsidP="00D65F18">
            <w:pPr>
              <w:jc w:val="both"/>
              <w:rPr>
                <w:bCs/>
              </w:rPr>
            </w:pPr>
            <w:r>
              <w:rPr>
                <w:bCs/>
              </w:rPr>
              <w:t xml:space="preserve">“art. 2 </w:t>
            </w:r>
          </w:p>
          <w:p w14:paraId="5FC0DDA6" w14:textId="77777777" w:rsidR="004F4E82" w:rsidRDefault="00D65F18" w:rsidP="004F4E82">
            <w:pPr>
              <w:jc w:val="both"/>
              <w:rPr>
                <w:bCs/>
                <w:color w:val="FF0000"/>
              </w:rPr>
            </w:pPr>
            <w:r w:rsidRPr="00A56343">
              <w:rPr>
                <w:bCs/>
              </w:rPr>
              <w:t>XVI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– Chamada Pública: procedimento, com garantia de acesso </w:t>
            </w:r>
            <w:r w:rsidRPr="004F4E82">
              <w:rPr>
                <w:bCs/>
                <w:color w:val="FF0000"/>
              </w:rPr>
              <w:t>isonômico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a todos os interessados, que tem por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finalidade estimar a demanda efetiva por serviços de transporte de gás natural </w:t>
            </w:r>
            <w:r w:rsidRPr="00917C4E">
              <w:rPr>
                <w:bCs/>
                <w:strike/>
                <w:color w:val="FF0000"/>
              </w:rPr>
              <w:t>em gasodutos a serem construídos ou ampliados</w:t>
            </w:r>
            <w:r>
              <w:rPr>
                <w:bCs/>
                <w:strike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referente a aumento de capacidade fruto de investimentos</w:t>
            </w:r>
          </w:p>
          <w:p w14:paraId="098B8AFE" w14:textId="77777777" w:rsidR="00D65F18" w:rsidRDefault="00D65F18" w:rsidP="004F4E82">
            <w:pPr>
              <w:jc w:val="both"/>
              <w:rPr>
                <w:bCs/>
                <w:color w:val="FF0000"/>
              </w:rPr>
            </w:pPr>
          </w:p>
          <w:p w14:paraId="305AEBD0" w14:textId="6DC7F7D8" w:rsidR="00D65F18" w:rsidRPr="00F51E87" w:rsidRDefault="00D65F18" w:rsidP="004F4E82">
            <w:pPr>
              <w:jc w:val="both"/>
              <w:rPr>
                <w:bCs/>
                <w:color w:val="FF0000"/>
              </w:rPr>
            </w:pPr>
            <w:r w:rsidRPr="00D65F18">
              <w:rPr>
                <w:bCs/>
              </w:rPr>
              <w:t>XXXIV-A -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Processo de Chamada Pública: procedimento, com garantia de acesso </w:t>
            </w:r>
            <w:r w:rsidRPr="004F4E82">
              <w:rPr>
                <w:bCs/>
                <w:color w:val="FF0000"/>
              </w:rPr>
              <w:t>isonômico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a todos os interessados,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>que tem por finalidade estimar a demanda efetiva por serviços de transporte de gás natural e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contratar capacidade de transporte firme </w:t>
            </w:r>
            <w:r w:rsidRPr="00507745">
              <w:rPr>
                <w:bCs/>
                <w:strike/>
                <w:color w:val="FF0000"/>
              </w:rPr>
              <w:t>em gasodutos a serem construídos ou ampliados</w:t>
            </w:r>
            <w:r>
              <w:rPr>
                <w:bCs/>
                <w:color w:val="FF0000"/>
              </w:rPr>
              <w:t xml:space="preserve"> referente a aumento de capacidade fruto de investimentos</w:t>
            </w:r>
            <w:r w:rsidRPr="004F4E82">
              <w:rPr>
                <w:bCs/>
              </w:rPr>
              <w:t>;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1549A7" w14:textId="312BF4B5" w:rsidR="004F4E82" w:rsidRPr="0015156E" w:rsidRDefault="00D65F18" w:rsidP="004F4E82">
            <w:pPr>
              <w:jc w:val="both"/>
              <w:rPr>
                <w:bCs/>
              </w:rPr>
            </w:pPr>
            <w:r>
              <w:rPr>
                <w:bCs/>
              </w:rPr>
              <w:t>Alterações iguais às realizadas na RANP 51/2013</w:t>
            </w:r>
          </w:p>
        </w:tc>
      </w:tr>
      <w:tr w:rsidR="001C2D8E" w:rsidRPr="0015156E" w14:paraId="10D877CC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F8E27D" w14:textId="77777777" w:rsidR="001C2D8E" w:rsidRDefault="001C2D8E" w:rsidP="001C2D8E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2D15C0EF" w14:textId="77777777" w:rsidR="001C2D8E" w:rsidRDefault="001C2D8E" w:rsidP="001C2D8E">
            <w:pPr>
              <w:jc w:val="both"/>
              <w:rPr>
                <w:bCs/>
              </w:rPr>
            </w:pPr>
            <w:r>
              <w:rPr>
                <w:bCs/>
              </w:rPr>
              <w:t xml:space="preserve">“art. 2 </w:t>
            </w:r>
          </w:p>
          <w:p w14:paraId="05D690DF" w14:textId="44D393CF" w:rsidR="001C2D8E" w:rsidRDefault="001C2D8E" w:rsidP="004F4E82">
            <w:pPr>
              <w:jc w:val="both"/>
              <w:rPr>
                <w:bCs/>
              </w:rPr>
            </w:pPr>
            <w:r>
              <w:lastRenderedPageBreak/>
              <w:t>XL - Tarifa de Transporte: valor a ser pago pelo Carregador ao Transportador pelo Serviço de Transporte, em conformidade com o disposto no Contrato de Serviço de Transporte celebrado entre as partes, o qual dispõe sobre as regras e condições específicas da contratação do serviço;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32CCA" w14:textId="77777777" w:rsidR="001C2D8E" w:rsidRDefault="001C2D8E" w:rsidP="001C2D8E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Art. 2</w:t>
            </w:r>
          </w:p>
          <w:p w14:paraId="735A2FE7" w14:textId="77777777" w:rsidR="001C2D8E" w:rsidRDefault="001C2D8E" w:rsidP="001C2D8E">
            <w:pPr>
              <w:jc w:val="both"/>
              <w:rPr>
                <w:bCs/>
              </w:rPr>
            </w:pPr>
            <w:r>
              <w:rPr>
                <w:bCs/>
              </w:rPr>
              <w:t xml:space="preserve">“art. 2 </w:t>
            </w:r>
          </w:p>
          <w:p w14:paraId="1380650D" w14:textId="69D7A1E3" w:rsidR="001C2D8E" w:rsidRDefault="001C2D8E" w:rsidP="001C2D8E">
            <w:pPr>
              <w:jc w:val="both"/>
              <w:rPr>
                <w:bCs/>
              </w:rPr>
            </w:pPr>
            <w:r>
              <w:lastRenderedPageBreak/>
              <w:t xml:space="preserve">XL - Tarifa de Transporte: valor a ser pago pelo Carregador ao Transportador pelo Serviço de Transporte, em conformidade com </w:t>
            </w:r>
            <w:r w:rsidRPr="001C2D8E">
              <w:rPr>
                <w:strike/>
                <w:color w:val="FF0000"/>
              </w:rPr>
              <w:t>o disposto no Contrato de Serviço de Transporte celebrado entre as partes</w:t>
            </w:r>
            <w:r w:rsidR="00BE71AD">
              <w:t xml:space="preserve"> </w:t>
            </w:r>
            <w:r w:rsidR="00BE71AD" w:rsidRPr="00BE71AD">
              <w:rPr>
                <w:color w:val="FF0000"/>
              </w:rPr>
              <w:t>o disposto nas resoluções da ANP</w:t>
            </w:r>
            <w:r>
              <w:t>, o qual dispõe sobre as regras e condições específicas da contratação do serviço;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B15361" w14:textId="471DE000" w:rsidR="001C2D8E" w:rsidRDefault="00BE71AD" w:rsidP="004F4E82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As tarifas de transporte devem </w:t>
            </w:r>
            <w:r w:rsidR="00B03603">
              <w:rPr>
                <w:bCs/>
              </w:rPr>
              <w:t>obedecer aos</w:t>
            </w:r>
            <w:r w:rsidR="008907AA">
              <w:rPr>
                <w:bCs/>
              </w:rPr>
              <w:t xml:space="preserve"> valores aprovados pela ANP, e não conforme determinado nos contratos de transporte entre partes.</w:t>
            </w:r>
          </w:p>
        </w:tc>
      </w:tr>
      <w:tr w:rsidR="00B03603" w:rsidRPr="0015156E" w14:paraId="6BFCEF84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64FDC6" w14:textId="77777777" w:rsidR="0099720F" w:rsidRDefault="0099720F" w:rsidP="0099720F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77683B84" w14:textId="77777777" w:rsidR="0099720F" w:rsidRDefault="0099720F" w:rsidP="0099720F">
            <w:pPr>
              <w:jc w:val="both"/>
              <w:rPr>
                <w:bCs/>
              </w:rPr>
            </w:pPr>
            <w:r>
              <w:rPr>
                <w:bCs/>
              </w:rPr>
              <w:t xml:space="preserve">“art. 2 </w:t>
            </w:r>
          </w:p>
          <w:p w14:paraId="798BF3A8" w14:textId="2D6E709C" w:rsidR="00B03603" w:rsidRDefault="00B03603" w:rsidP="00B03603">
            <w:pPr>
              <w:jc w:val="both"/>
              <w:rPr>
                <w:bCs/>
              </w:rPr>
            </w:pPr>
            <w:r w:rsidRPr="00B03603">
              <w:rPr>
                <w:bCs/>
              </w:rPr>
              <w:t>XXXV-A - Projeto de Referência: projeto de construção ou ampliação de gasoduto de transporte</w:t>
            </w:r>
            <w:r>
              <w:rPr>
                <w:bCs/>
              </w:rPr>
              <w:t xml:space="preserve"> </w:t>
            </w:r>
            <w:r w:rsidRPr="00B03603">
              <w:rPr>
                <w:bCs/>
              </w:rPr>
              <w:t>utilizado para efeito da definição da receita máxima permitida e das tarifas de referência;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F75DB7" w14:textId="77777777" w:rsidR="0099720F" w:rsidRDefault="0099720F" w:rsidP="0099720F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46D31B15" w14:textId="77777777" w:rsidR="0099720F" w:rsidRDefault="0099720F" w:rsidP="0099720F">
            <w:pPr>
              <w:jc w:val="both"/>
              <w:rPr>
                <w:bCs/>
              </w:rPr>
            </w:pPr>
            <w:r>
              <w:rPr>
                <w:bCs/>
              </w:rPr>
              <w:t xml:space="preserve">“art. 2 </w:t>
            </w:r>
          </w:p>
          <w:p w14:paraId="090F7044" w14:textId="4F70F746" w:rsidR="00B03603" w:rsidRDefault="0099720F" w:rsidP="0099720F">
            <w:pPr>
              <w:jc w:val="both"/>
              <w:rPr>
                <w:bCs/>
              </w:rPr>
            </w:pPr>
            <w:r w:rsidRPr="00B03603">
              <w:rPr>
                <w:bCs/>
              </w:rPr>
              <w:t xml:space="preserve">XXXV-A - Projeto de Referência: projeto de construção </w:t>
            </w:r>
            <w:r w:rsidR="00BA7569" w:rsidRPr="00BA7569">
              <w:rPr>
                <w:bCs/>
                <w:color w:val="FF0000"/>
              </w:rPr>
              <w:t xml:space="preserve">de gasoduto </w:t>
            </w:r>
            <w:r w:rsidRPr="00B03603">
              <w:rPr>
                <w:bCs/>
              </w:rPr>
              <w:t xml:space="preserve">ou ampliação </w:t>
            </w:r>
            <w:r>
              <w:rPr>
                <w:bCs/>
              </w:rPr>
              <w:t xml:space="preserve">da capacidade </w:t>
            </w:r>
            <w:r w:rsidRPr="00AD4D27">
              <w:rPr>
                <w:bCs/>
                <w:strike/>
                <w:color w:val="FF0000"/>
              </w:rPr>
              <w:t>de gasoduto</w:t>
            </w:r>
            <w:r w:rsidRPr="00AD4D27">
              <w:rPr>
                <w:bCs/>
                <w:color w:val="FF0000"/>
              </w:rPr>
              <w:t xml:space="preserve"> </w:t>
            </w:r>
            <w:r w:rsidRPr="00B03603">
              <w:rPr>
                <w:bCs/>
              </w:rPr>
              <w:t>de transporte</w:t>
            </w:r>
            <w:r>
              <w:rPr>
                <w:bCs/>
              </w:rPr>
              <w:t xml:space="preserve"> </w:t>
            </w:r>
            <w:r w:rsidRPr="00B03603">
              <w:rPr>
                <w:bCs/>
              </w:rPr>
              <w:t>utilizado para efeito da definição da receita máxima permitida e das tarifas de referência;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529A79" w14:textId="30301584" w:rsidR="00B03603" w:rsidRDefault="00AD4D27" w:rsidP="004F4E82">
            <w:pPr>
              <w:jc w:val="both"/>
              <w:rPr>
                <w:bCs/>
              </w:rPr>
            </w:pPr>
            <w:r>
              <w:rPr>
                <w:bCs/>
              </w:rPr>
              <w:t xml:space="preserve">Entendemos que qualquer investimento que tenha como objeto o </w:t>
            </w:r>
            <w:r w:rsidR="00BA7569">
              <w:rPr>
                <w:bCs/>
              </w:rPr>
              <w:t>aumento da capacidade de transporte, sendo este um novo gasoduto ou não, deve ser considerado como um projeto de referência, objeto de uma Chamada Pública.</w:t>
            </w:r>
          </w:p>
        </w:tc>
      </w:tr>
      <w:tr w:rsidR="0032761C" w:rsidRPr="0015156E" w14:paraId="1905B9FB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00DD51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5F377458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6D7740FD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  <w:p w14:paraId="15111653" w14:textId="77777777" w:rsidR="0032761C" w:rsidRDefault="0032761C" w:rsidP="0032761C">
            <w:pPr>
              <w:jc w:val="both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050EC4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44143B90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33C036AE" w14:textId="77777777" w:rsidR="00203F2F" w:rsidRPr="00203F2F" w:rsidRDefault="0032761C" w:rsidP="00203F2F">
            <w:pPr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Conta regulatória</w:t>
            </w:r>
            <w:r w:rsidRPr="00B517D2">
              <w:rPr>
                <w:bCs/>
                <w:color w:val="FF0000"/>
              </w:rPr>
              <w:t xml:space="preserve"> - </w:t>
            </w:r>
            <w:r w:rsidR="00203F2F" w:rsidRPr="00203F2F">
              <w:rPr>
                <w:bCs/>
                <w:color w:val="FF0000"/>
              </w:rPr>
              <w:t>Conta na qual são registradas</w:t>
            </w:r>
          </w:p>
          <w:p w14:paraId="4B922C1E" w14:textId="0B4697E6" w:rsidR="0032761C" w:rsidRDefault="00203F2F" w:rsidP="00B41AE1">
            <w:pPr>
              <w:jc w:val="both"/>
              <w:rPr>
                <w:bCs/>
              </w:rPr>
            </w:pPr>
            <w:r w:rsidRPr="00203F2F">
              <w:rPr>
                <w:bCs/>
                <w:color w:val="FF0000"/>
              </w:rPr>
              <w:t>as diferenças</w:t>
            </w:r>
            <w:r>
              <w:rPr>
                <w:bCs/>
                <w:color w:val="FF0000"/>
              </w:rPr>
              <w:t xml:space="preserve"> entre </w:t>
            </w:r>
            <w:r w:rsidR="00B41AE1">
              <w:rPr>
                <w:bCs/>
                <w:color w:val="FF0000"/>
              </w:rPr>
              <w:t xml:space="preserve">a receita </w:t>
            </w:r>
            <w:r w:rsidR="00BF397A" w:rsidRPr="00BF397A">
              <w:rPr>
                <w:bCs/>
                <w:color w:val="FF0000"/>
              </w:rPr>
              <w:t>apurad</w:t>
            </w:r>
            <w:r w:rsidR="00B41AE1">
              <w:rPr>
                <w:bCs/>
                <w:color w:val="FF0000"/>
              </w:rPr>
              <w:t xml:space="preserve">a pelo transportador </w:t>
            </w:r>
            <w:r w:rsidR="00BF397A" w:rsidRPr="00BF397A">
              <w:rPr>
                <w:bCs/>
                <w:color w:val="FF0000"/>
              </w:rPr>
              <w:t xml:space="preserve">e </w:t>
            </w:r>
            <w:r w:rsidR="00EE463B">
              <w:rPr>
                <w:bCs/>
                <w:color w:val="FF0000"/>
              </w:rPr>
              <w:t xml:space="preserve">a RMP </w:t>
            </w:r>
            <w:r w:rsidR="00BF397A" w:rsidRPr="00BF397A">
              <w:rPr>
                <w:bCs/>
                <w:color w:val="FF0000"/>
              </w:rPr>
              <w:t>aprovad</w:t>
            </w:r>
            <w:r w:rsidR="00EE463B">
              <w:rPr>
                <w:bCs/>
                <w:color w:val="FF0000"/>
              </w:rPr>
              <w:t>a</w:t>
            </w:r>
            <w:r w:rsidR="00BF397A" w:rsidRPr="00BF397A">
              <w:rPr>
                <w:bCs/>
                <w:color w:val="FF0000"/>
              </w:rPr>
              <w:t xml:space="preserve"> pela ANP</w:t>
            </w:r>
            <w:r w:rsidR="00EE463B">
              <w:rPr>
                <w:bCs/>
                <w:color w:val="FF000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B35D0E" w14:textId="08C51EBE" w:rsidR="0032761C" w:rsidRPr="0015156E" w:rsidRDefault="008D5DC4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Sugerimos a inclusão da definição da conta regulatória, metodologia criada pela ANP </w:t>
            </w:r>
            <w:r w:rsidR="00304EEA">
              <w:rPr>
                <w:bCs/>
              </w:rPr>
              <w:t>no processo de revisão tarifária e chamada pública 01 da TBG. A definição é necessária pois sugerimos a inclusão da utilização d</w:t>
            </w:r>
            <w:r w:rsidR="00223CAE">
              <w:rPr>
                <w:bCs/>
              </w:rPr>
              <w:t>o</w:t>
            </w:r>
            <w:r w:rsidR="00304EEA">
              <w:rPr>
                <w:bCs/>
              </w:rPr>
              <w:t xml:space="preserve"> saldo da conta regulatória na metodologia de calcula tarifário previsto no </w:t>
            </w:r>
            <w:r w:rsidR="008862C4">
              <w:rPr>
                <w:bCs/>
              </w:rPr>
              <w:t>P</w:t>
            </w:r>
            <w:r w:rsidR="00304EEA">
              <w:rPr>
                <w:bCs/>
              </w:rPr>
              <w:t xml:space="preserve">rocesso de Oferta </w:t>
            </w:r>
            <w:r w:rsidR="008862C4">
              <w:rPr>
                <w:bCs/>
              </w:rPr>
              <w:t xml:space="preserve">e Contratação de </w:t>
            </w:r>
            <w:r w:rsidR="00304EEA">
              <w:rPr>
                <w:bCs/>
              </w:rPr>
              <w:t>C</w:t>
            </w:r>
            <w:r w:rsidR="008862C4">
              <w:rPr>
                <w:bCs/>
              </w:rPr>
              <w:t>a</w:t>
            </w:r>
            <w:r w:rsidR="00304EEA">
              <w:rPr>
                <w:bCs/>
              </w:rPr>
              <w:t>p</w:t>
            </w:r>
            <w:r w:rsidR="008862C4">
              <w:rPr>
                <w:bCs/>
              </w:rPr>
              <w:t>acidade</w:t>
            </w:r>
            <w:r w:rsidR="00F51844">
              <w:rPr>
                <w:bCs/>
              </w:rPr>
              <w:t xml:space="preserve"> (art. 38A)</w:t>
            </w:r>
          </w:p>
        </w:tc>
      </w:tr>
      <w:tr w:rsidR="00536905" w:rsidRPr="0015156E" w14:paraId="4043CA14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FAC794" w14:textId="77777777" w:rsidR="00536905" w:rsidRDefault="00536905" w:rsidP="0053690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0EC772D4" w14:textId="77777777" w:rsidR="00536905" w:rsidRDefault="00536905" w:rsidP="00536905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148CDE73" w14:textId="77777777" w:rsidR="00536905" w:rsidRDefault="00536905" w:rsidP="00536905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  <w:p w14:paraId="00EB91EB" w14:textId="77777777" w:rsidR="00536905" w:rsidRDefault="00536905" w:rsidP="0032761C">
            <w:pPr>
              <w:jc w:val="both"/>
              <w:rPr>
                <w:bCs/>
              </w:rPr>
            </w:pPr>
          </w:p>
          <w:p w14:paraId="0FEE40D1" w14:textId="03AC37F6" w:rsidR="00536905" w:rsidRDefault="00536905" w:rsidP="0032761C">
            <w:pPr>
              <w:jc w:val="both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184B64" w14:textId="77777777" w:rsidR="0050145B" w:rsidRDefault="0050145B" w:rsidP="0050145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3A10FEC4" w14:textId="77777777" w:rsidR="0050145B" w:rsidRDefault="0050145B" w:rsidP="0050145B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42394EC5" w14:textId="29590FB8" w:rsidR="00536905" w:rsidRDefault="00536905" w:rsidP="001E6907">
            <w:pPr>
              <w:jc w:val="both"/>
              <w:rPr>
                <w:bCs/>
              </w:rPr>
            </w:pPr>
            <w:r w:rsidRPr="00536905">
              <w:rPr>
                <w:bCs/>
              </w:rPr>
              <w:t xml:space="preserve"> </w:t>
            </w:r>
            <w:r w:rsidRPr="0050145B">
              <w:rPr>
                <w:bCs/>
                <w:color w:val="FF0000"/>
              </w:rPr>
              <w:t xml:space="preserve">Serviço de Transporte de Longo Prazo: modalidade firme de contratação de capacidade disponível, com vigência </w:t>
            </w:r>
            <w:r w:rsidR="00D235D9">
              <w:rPr>
                <w:bCs/>
                <w:color w:val="FF0000"/>
              </w:rPr>
              <w:t xml:space="preserve">igual ou </w:t>
            </w:r>
            <w:r w:rsidR="0050145B">
              <w:rPr>
                <w:bCs/>
                <w:color w:val="FF0000"/>
              </w:rPr>
              <w:t xml:space="preserve">superior </w:t>
            </w:r>
            <w:r w:rsidRPr="0050145B">
              <w:rPr>
                <w:bCs/>
                <w:color w:val="FF0000"/>
              </w:rPr>
              <w:t>a 365</w:t>
            </w:r>
            <w:r w:rsidR="00D235D9">
              <w:rPr>
                <w:bCs/>
                <w:color w:val="FF0000"/>
              </w:rPr>
              <w:t xml:space="preserve"> dias</w:t>
            </w:r>
            <w:r w:rsidR="00BD51A4">
              <w:rPr>
                <w:bCs/>
                <w:color w:val="FF0000"/>
              </w:rPr>
              <w:t xml:space="preserve">, cujo início da prestação do serviço é dia </w:t>
            </w:r>
            <w:r w:rsidR="00D235D9">
              <w:rPr>
                <w:bCs/>
                <w:color w:val="FF0000"/>
              </w:rPr>
              <w:t>01 de janeiro</w:t>
            </w:r>
            <w:r w:rsidRPr="0050145B">
              <w:rPr>
                <w:bCs/>
                <w:color w:val="FF0000"/>
              </w:rPr>
              <w:t>;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8FA1ED" w14:textId="5312973D" w:rsidR="00536905" w:rsidRDefault="00D235D9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Criação do conceito de </w:t>
            </w:r>
            <w:r w:rsidR="00814A68">
              <w:rPr>
                <w:bCs/>
              </w:rPr>
              <w:t xml:space="preserve">serviço de longo prazo para diferencia dos contratos de longo prazo. Conforme contribuições seguintes, sugerimos essa diferenciação pois entendemos que </w:t>
            </w:r>
            <w:r w:rsidR="004D7649">
              <w:rPr>
                <w:bCs/>
              </w:rPr>
              <w:t xml:space="preserve">os produtos serão ofertados seguindo diferentes regulamentos. Os serviços de longo prazo seguirão </w:t>
            </w:r>
            <w:r w:rsidR="001F2996">
              <w:rPr>
                <w:bCs/>
              </w:rPr>
              <w:t>regulamento específico, onde é definida a tarifa de transporte firme de cada ano, e onde é apresentado a tarifa de re</w:t>
            </w:r>
            <w:r w:rsidR="0035579A">
              <w:rPr>
                <w:bCs/>
              </w:rPr>
              <w:t>ferên</w:t>
            </w:r>
            <w:r w:rsidR="001F2996">
              <w:rPr>
                <w:bCs/>
              </w:rPr>
              <w:t xml:space="preserve">cia. </w:t>
            </w:r>
            <w:r w:rsidR="00D012F3">
              <w:rPr>
                <w:bCs/>
              </w:rPr>
              <w:t>Já os produtos de curto prazo, seguiriam processos de contratação mais simples</w:t>
            </w:r>
            <w:r w:rsidR="00364A5F">
              <w:rPr>
                <w:bCs/>
              </w:rPr>
              <w:t>.</w:t>
            </w:r>
          </w:p>
        </w:tc>
      </w:tr>
      <w:tr w:rsidR="0032761C" w:rsidRPr="0015156E" w14:paraId="69C82602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9AD99F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68EF7804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5F940E6C" w14:textId="38871DB9" w:rsidR="0032761C" w:rsidRPr="0015156E" w:rsidRDefault="0032761C" w:rsidP="0032761C">
            <w:pPr>
              <w:jc w:val="both"/>
              <w:rPr>
                <w:bCs/>
              </w:rPr>
            </w:pPr>
            <w:r w:rsidRPr="004F4E82">
              <w:rPr>
                <w:bCs/>
              </w:rPr>
              <w:t>§ 1º A oferta integral de Capacidade Disponível e de Capacidade Ociosa é obrigatória por parte do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Transportador, seja para contratação em modalidade firme, </w:t>
            </w:r>
            <w:proofErr w:type="spellStart"/>
            <w:r w:rsidRPr="004F4E82">
              <w:rPr>
                <w:bCs/>
              </w:rPr>
              <w:t>interruptível</w:t>
            </w:r>
            <w:proofErr w:type="spellEnd"/>
            <w:r w:rsidRPr="004F4E82">
              <w:rPr>
                <w:bCs/>
              </w:rPr>
              <w:t xml:space="preserve"> ou extraordinária</w:t>
            </w:r>
            <w:r>
              <w:rPr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A24EA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2F06E7C5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“</w:t>
            </w: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4DFA1EEC" w14:textId="36F64456" w:rsidR="0032761C" w:rsidRPr="0015156E" w:rsidRDefault="0032761C" w:rsidP="0032761C">
            <w:pPr>
              <w:jc w:val="both"/>
              <w:rPr>
                <w:bCs/>
              </w:rPr>
            </w:pPr>
            <w:r w:rsidRPr="004F4E82">
              <w:rPr>
                <w:bCs/>
              </w:rPr>
              <w:t>§ 1º A oferta integral de Capacidade Disponível e de Capacidade Ociosa é obrigatória por parte do</w:t>
            </w:r>
            <w:r>
              <w:rPr>
                <w:bCs/>
              </w:rPr>
              <w:t xml:space="preserve"> </w:t>
            </w:r>
            <w:r w:rsidRPr="004F4E82">
              <w:rPr>
                <w:bCs/>
              </w:rPr>
              <w:t xml:space="preserve">Transportador, seja para contratação em modalidade firme, </w:t>
            </w:r>
            <w:proofErr w:type="spellStart"/>
            <w:r w:rsidRPr="004F4E82">
              <w:rPr>
                <w:bCs/>
              </w:rPr>
              <w:t>interruptível</w:t>
            </w:r>
            <w:proofErr w:type="spellEnd"/>
            <w:r w:rsidRPr="004F4E82">
              <w:rPr>
                <w:bCs/>
              </w:rPr>
              <w:t xml:space="preserve"> </w:t>
            </w:r>
            <w:r w:rsidRPr="004F4E82">
              <w:rPr>
                <w:bCs/>
                <w:strike/>
                <w:color w:val="FF0000"/>
              </w:rPr>
              <w:t>ou extraordinária</w:t>
            </w:r>
            <w:r>
              <w:rPr>
                <w:bCs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812DD6" w14:textId="34A6582B" w:rsidR="0032761C" w:rsidRPr="0015156E" w:rsidRDefault="00223CAE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Exclusão da modalidade extraordinária. Esta modalidade de serviço não é </w:t>
            </w:r>
            <w:r w:rsidR="00062985">
              <w:rPr>
                <w:bCs/>
              </w:rPr>
              <w:t>prevista</w:t>
            </w:r>
            <w:r>
              <w:rPr>
                <w:bCs/>
              </w:rPr>
              <w:t xml:space="preserve"> na Lei </w:t>
            </w:r>
            <w:r w:rsidR="0011495D">
              <w:rPr>
                <w:bCs/>
              </w:rPr>
              <w:t>14.134/21 e tem característica semelhante ao serviço firme de curto prazo.</w:t>
            </w:r>
          </w:p>
        </w:tc>
      </w:tr>
      <w:tr w:rsidR="0032761C" w:rsidRPr="0015156E" w14:paraId="553500CB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4B94BE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3E670E91" w14:textId="10D1175B" w:rsidR="0032761C" w:rsidRPr="0015156E" w:rsidRDefault="0032761C" w:rsidP="0032761C">
            <w:pPr>
              <w:jc w:val="both"/>
              <w:rPr>
                <w:bCs/>
              </w:rPr>
            </w:pPr>
            <w:r w:rsidRPr="00B517D2">
              <w:rPr>
                <w:bCs/>
              </w:rPr>
              <w:t>“Art. 7º. Quando a ANP identificar Congestionamento Contratual prolongado, causado pela não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 xml:space="preserve">utilização de capacidade contratada em modalidade firme de modo </w:t>
            </w:r>
            <w:r>
              <w:rPr>
                <w:bCs/>
              </w:rPr>
              <w:t>sistemático</w:t>
            </w:r>
            <w:r w:rsidRPr="00B517D2">
              <w:rPr>
                <w:bCs/>
              </w:rPr>
              <w:t>, deverá determinar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>procedimentos específicos de Gerenciamento de Congestionamento Contratual, com o objetivo de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>que a respectiva capacidade seja novamente oferecida ao mercado.”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71DC60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12A6A37A" w14:textId="23E6FA94" w:rsidR="0032761C" w:rsidRPr="0015156E" w:rsidRDefault="0032761C" w:rsidP="0032761C">
            <w:pPr>
              <w:jc w:val="both"/>
              <w:rPr>
                <w:bCs/>
              </w:rPr>
            </w:pPr>
            <w:r w:rsidRPr="00B517D2">
              <w:rPr>
                <w:bCs/>
              </w:rPr>
              <w:t xml:space="preserve">“Art. 7º. Quando </w:t>
            </w:r>
            <w:r w:rsidRPr="001C58DB">
              <w:rPr>
                <w:bCs/>
              </w:rPr>
              <w:t xml:space="preserve">a ANP </w:t>
            </w:r>
            <w:r w:rsidR="001C58DB" w:rsidRPr="001C58DB">
              <w:rPr>
                <w:bCs/>
                <w:color w:val="FF0000"/>
              </w:rPr>
              <w:t>ou</w:t>
            </w:r>
            <w:r w:rsidR="001C58DB" w:rsidRPr="001C58DB">
              <w:rPr>
                <w:bCs/>
                <w:color w:val="FF0000"/>
              </w:rPr>
              <w:t xml:space="preserve"> </w:t>
            </w:r>
            <w:r w:rsidR="00F45DA2" w:rsidRPr="001C58DB">
              <w:rPr>
                <w:bCs/>
                <w:color w:val="FF0000"/>
              </w:rPr>
              <w:t>o</w:t>
            </w:r>
            <w:r w:rsidR="00F45DA2" w:rsidRPr="00A70707">
              <w:rPr>
                <w:bCs/>
                <w:color w:val="FF0000"/>
              </w:rPr>
              <w:t xml:space="preserve"> </w:t>
            </w:r>
            <w:r w:rsidRPr="00B517D2">
              <w:rPr>
                <w:bCs/>
                <w:color w:val="FF0000"/>
              </w:rPr>
              <w:t>transportador</w:t>
            </w:r>
            <w:r w:rsidRPr="00B517D2">
              <w:rPr>
                <w:bCs/>
              </w:rPr>
              <w:t xml:space="preserve"> identificar</w:t>
            </w:r>
            <w:r w:rsidR="009B64BF" w:rsidRPr="001C58DB">
              <w:rPr>
                <w:bCs/>
                <w:color w:val="FF0000"/>
              </w:rPr>
              <w:t>em</w:t>
            </w:r>
            <w:r w:rsidRPr="00B517D2">
              <w:rPr>
                <w:bCs/>
              </w:rPr>
              <w:t xml:space="preserve"> Congestionamento Contratual prolongado, causado pela não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 xml:space="preserve">utilização de capacidade contratada em modalidade firme de modo </w:t>
            </w:r>
            <w:r>
              <w:rPr>
                <w:bCs/>
              </w:rPr>
              <w:t>sistemático</w:t>
            </w:r>
            <w:r w:rsidRPr="00B517D2">
              <w:rPr>
                <w:bCs/>
              </w:rPr>
              <w:t xml:space="preserve">, deverá </w:t>
            </w:r>
            <w:r w:rsidR="009B64BF">
              <w:rPr>
                <w:bCs/>
                <w:color w:val="FF0000"/>
              </w:rPr>
              <w:t>ser determinado pela ANP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>procedimentos específicos de Gerenciamento de Congestionamento Contratual, com o objetivo de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>que a respectiva capacidade seja novamente oferecida ao mercado.”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F90B2" w14:textId="77777777" w:rsidR="0032761C" w:rsidRDefault="00062985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Transferência do dever primário de identificar Congestionamento Contratual da ANP ao transportador. </w:t>
            </w:r>
            <w:r w:rsidR="005C1B1A">
              <w:rPr>
                <w:bCs/>
              </w:rPr>
              <w:t xml:space="preserve">A ANP deve ser informada da ocorrência para definir os procedimentos necessários. O </w:t>
            </w:r>
            <w:r w:rsidR="00860E69">
              <w:rPr>
                <w:bCs/>
              </w:rPr>
              <w:t xml:space="preserve">transportador </w:t>
            </w:r>
            <w:r w:rsidR="007E0E10">
              <w:rPr>
                <w:bCs/>
              </w:rPr>
              <w:t xml:space="preserve">é o agente que opera o gasoduto e tem </w:t>
            </w:r>
            <w:r w:rsidR="00F16318">
              <w:rPr>
                <w:bCs/>
              </w:rPr>
              <w:t>posse das informações para identificar o comportamento de forma diligente.</w:t>
            </w:r>
          </w:p>
          <w:p w14:paraId="2BE8D2E1" w14:textId="77777777" w:rsidR="00C056B6" w:rsidRDefault="00C056B6" w:rsidP="0032761C">
            <w:pPr>
              <w:jc w:val="both"/>
              <w:rPr>
                <w:bCs/>
              </w:rPr>
            </w:pPr>
          </w:p>
          <w:p w14:paraId="6F64CEB2" w14:textId="6538CBF6" w:rsidR="00C056B6" w:rsidRDefault="00C056B6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Neste aspecto, </w:t>
            </w:r>
            <w:r w:rsidR="006B0604">
              <w:rPr>
                <w:bCs/>
              </w:rPr>
              <w:t xml:space="preserve">ratificamos a importância </w:t>
            </w:r>
            <w:r w:rsidR="0079145F">
              <w:rPr>
                <w:bCs/>
              </w:rPr>
              <w:t>de a</w:t>
            </w:r>
            <w:r w:rsidR="006B0604">
              <w:rPr>
                <w:bCs/>
              </w:rPr>
              <w:t xml:space="preserve"> ANP detalhar a gestão </w:t>
            </w:r>
            <w:r w:rsidR="0079145F">
              <w:rPr>
                <w:bCs/>
              </w:rPr>
              <w:t>d</w:t>
            </w:r>
            <w:r w:rsidR="006B0604">
              <w:rPr>
                <w:bCs/>
              </w:rPr>
              <w:t>o congestionamento contrat</w:t>
            </w:r>
            <w:r w:rsidR="0079145F">
              <w:rPr>
                <w:bCs/>
              </w:rPr>
              <w:t>ual</w:t>
            </w:r>
            <w:r w:rsidR="006B0604">
              <w:rPr>
                <w:bCs/>
              </w:rPr>
              <w:t xml:space="preserve">, explicitando </w:t>
            </w:r>
            <w:r w:rsidR="00E011E2">
              <w:rPr>
                <w:bCs/>
              </w:rPr>
              <w:t xml:space="preserve">o que seria “não utilização de capacidade contratada de forma </w:t>
            </w:r>
            <w:r w:rsidR="00E011E2" w:rsidRPr="00E011E2">
              <w:rPr>
                <w:b/>
              </w:rPr>
              <w:t>prolongada</w:t>
            </w:r>
            <w:r w:rsidR="00E011E2">
              <w:rPr>
                <w:bCs/>
              </w:rPr>
              <w:t xml:space="preserve">”. </w:t>
            </w:r>
            <w:r w:rsidR="0079145F">
              <w:rPr>
                <w:bCs/>
              </w:rPr>
              <w:t>Ademais, até que a regulação esteja finalizada, sugerimos ao regulador tratar dos indícios caso a caso.</w:t>
            </w:r>
          </w:p>
          <w:p w14:paraId="1DDA27C9" w14:textId="227C7ACB" w:rsidR="0008334F" w:rsidRPr="0015156E" w:rsidRDefault="0008334F" w:rsidP="0032761C">
            <w:pPr>
              <w:jc w:val="both"/>
              <w:rPr>
                <w:bCs/>
              </w:rPr>
            </w:pPr>
          </w:p>
        </w:tc>
      </w:tr>
      <w:tr w:rsidR="0032761C" w:rsidRPr="0015156E" w14:paraId="7D9D408F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94ED49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6D6C3D1E" w14:textId="32181CC0" w:rsidR="0032761C" w:rsidRPr="0015156E" w:rsidRDefault="0032761C" w:rsidP="0032761C">
            <w:pPr>
              <w:jc w:val="both"/>
              <w:rPr>
                <w:bCs/>
              </w:rPr>
            </w:pPr>
            <w:r w:rsidRPr="00B517D2">
              <w:rPr>
                <w:bCs/>
              </w:rPr>
              <w:t>“Art. 8º. O Serviço de Transporte Extraordinário deve ser oferecido pelo prazo máximo de 1 (um)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>ano, cabendo ao Transportador promover a oferta e contratação de capacidade para esse serviço</w:t>
            </w:r>
            <w:r>
              <w:rPr>
                <w:bCs/>
              </w:rPr>
              <w:t xml:space="preserve"> </w:t>
            </w:r>
            <w:r w:rsidRPr="00B517D2">
              <w:rPr>
                <w:bCs/>
              </w:rPr>
              <w:t>com periodicidade anual ou inferior</w:t>
            </w:r>
            <w:r>
              <w:rPr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B016D7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6C718BC7" w14:textId="29690CA6" w:rsidR="0032761C" w:rsidRPr="00B517D2" w:rsidRDefault="0032761C" w:rsidP="0032761C">
            <w:pPr>
              <w:jc w:val="both"/>
              <w:rPr>
                <w:bCs/>
                <w:strike/>
                <w:color w:val="FF0000"/>
              </w:rPr>
            </w:pPr>
            <w:r w:rsidRPr="00B517D2">
              <w:rPr>
                <w:bCs/>
                <w:strike/>
                <w:color w:val="FF0000"/>
              </w:rPr>
              <w:t>“Art. 8º. O Serviço de Transporte Extraordinário deve ser oferecido pelo prazo máximo de 1 (um) ano, cabendo ao Transportador promover a oferta e contratação de capacidade para esse serviço com periodicidade anual ou inferior.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0C3013" w14:textId="4EBE91F7" w:rsidR="0032761C" w:rsidRPr="0015156E" w:rsidRDefault="00912491" w:rsidP="0032761C">
            <w:pPr>
              <w:jc w:val="both"/>
              <w:rPr>
                <w:bCs/>
              </w:rPr>
            </w:pPr>
            <w:r>
              <w:rPr>
                <w:bCs/>
              </w:rPr>
              <w:t>Exclusão do artigo em linha com a contribuição acima.</w:t>
            </w:r>
            <w:r w:rsidR="00AA1CCC">
              <w:rPr>
                <w:bCs/>
              </w:rPr>
              <w:t xml:space="preserve"> O conceito exposto é idêntico ao </w:t>
            </w:r>
            <w:r w:rsidR="00E9272B" w:rsidRPr="00E9272B">
              <w:rPr>
                <w:bCs/>
              </w:rPr>
              <w:t>Serviço de Transporte de Curto Prazo</w:t>
            </w:r>
          </w:p>
        </w:tc>
      </w:tr>
      <w:tr w:rsidR="0032761C" w:rsidRPr="0015156E" w14:paraId="3B66F2AD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96F924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14C2B13A" w14:textId="59A6149F" w:rsidR="0032761C" w:rsidRPr="0015156E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Art. 8º-A. O serviço de transporte de curto prazo deverá ser contratado em plataforma eletrônica</w:t>
            </w:r>
            <w:r>
              <w:rPr>
                <w:bCs/>
              </w:rPr>
              <w:t xml:space="preserve"> </w:t>
            </w:r>
            <w:r w:rsidRPr="0051029A">
              <w:rPr>
                <w:bCs/>
              </w:rPr>
              <w:t>dos transportadores por meio da celebração de contrato master.”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493DF2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0C15BA8A" w14:textId="5ADA6B3E" w:rsidR="0032761C" w:rsidRPr="0015156E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 xml:space="preserve">Art. 8º-A. O serviço de transporte </w:t>
            </w:r>
            <w:r w:rsidRPr="0051029A">
              <w:rPr>
                <w:bCs/>
                <w:strike/>
                <w:color w:val="FF0000"/>
              </w:rPr>
              <w:t>de curto prazo</w:t>
            </w:r>
            <w:r w:rsidRPr="0051029A">
              <w:rPr>
                <w:bCs/>
              </w:rPr>
              <w:t xml:space="preserve"> deverá ser contratado em plataforma eletrônica</w:t>
            </w:r>
            <w:r>
              <w:rPr>
                <w:bCs/>
              </w:rPr>
              <w:t xml:space="preserve"> </w:t>
            </w:r>
            <w:r w:rsidRPr="0051029A">
              <w:rPr>
                <w:bCs/>
              </w:rPr>
              <w:t>dos transportadores por meio da celebração de contrato master.”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20A03" w14:textId="58D470B7" w:rsidR="0032761C" w:rsidRPr="0015156E" w:rsidRDefault="00E614C5" w:rsidP="0032761C">
            <w:pPr>
              <w:jc w:val="both"/>
              <w:rPr>
                <w:bCs/>
              </w:rPr>
            </w:pPr>
            <w:r>
              <w:rPr>
                <w:bCs/>
              </w:rPr>
              <w:t>Prop</w:t>
            </w:r>
            <w:r w:rsidR="00D1730B">
              <w:rPr>
                <w:bCs/>
              </w:rPr>
              <w:t>omos que haja diferenciação dos contratos firme (longo e curto prazo) para simplificação do</w:t>
            </w:r>
            <w:r w:rsidR="00B13402">
              <w:rPr>
                <w:bCs/>
              </w:rPr>
              <w:t xml:space="preserve"> processo e redução do custo transacional de contratação do transporte. Nesta acepção, defendemos que o contrato de longo (</w:t>
            </w:r>
            <w:r w:rsidR="007E5133">
              <w:rPr>
                <w:bCs/>
              </w:rPr>
              <w:t>maior ou igual a um ano) e curto prazo (menor que um ano) devem ter as mesmas cláusulas, direitos e obrigação das partes, diferindo apenas n</w:t>
            </w:r>
            <w:r w:rsidR="00AD09E2">
              <w:rPr>
                <w:bCs/>
              </w:rPr>
              <w:t xml:space="preserve">o prazo contratual. O contrato Master (Master </w:t>
            </w:r>
            <w:proofErr w:type="spellStart"/>
            <w:r w:rsidR="00AD09E2">
              <w:rPr>
                <w:bCs/>
              </w:rPr>
              <w:t>Agreement</w:t>
            </w:r>
            <w:proofErr w:type="spellEnd"/>
            <w:r w:rsidR="00AD09E2">
              <w:rPr>
                <w:bCs/>
              </w:rPr>
              <w:t>) pode ser também utilizado para contratação de longo prazo.</w:t>
            </w:r>
          </w:p>
        </w:tc>
      </w:tr>
      <w:tr w:rsidR="0032761C" w:rsidRPr="0015156E" w14:paraId="79AC1165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9EDE1F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7778ABAA" w14:textId="36709414" w:rsidR="0032761C" w:rsidRPr="0015156E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Art. 8º-C. A ANP poderá definir um calendário para a oferta de capacidade de transporte, de forma</w:t>
            </w:r>
            <w:r>
              <w:rPr>
                <w:bCs/>
              </w:rPr>
              <w:t xml:space="preserve"> </w:t>
            </w:r>
            <w:r w:rsidRPr="0051029A">
              <w:rPr>
                <w:bCs/>
              </w:rPr>
              <w:t>coordenada com todos os transportadores.”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2B4983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30EA5B50" w14:textId="77777777" w:rsidR="005E48E0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 xml:space="preserve">Art. 8º-C. A ANP </w:t>
            </w:r>
            <w:r w:rsidRPr="0051029A">
              <w:rPr>
                <w:bCs/>
                <w:strike/>
                <w:color w:val="FF0000"/>
              </w:rPr>
              <w:t>poderá</w:t>
            </w:r>
            <w:r w:rsidRPr="0051029A">
              <w:rPr>
                <w:bCs/>
                <w:color w:val="FF0000"/>
              </w:rPr>
              <w:t xml:space="preserve"> deverá</w:t>
            </w:r>
            <w:r w:rsidRPr="0051029A">
              <w:rPr>
                <w:bCs/>
              </w:rPr>
              <w:t xml:space="preserve"> definir um calendário para a oferta de capacidade de transporte, de forma</w:t>
            </w:r>
            <w:r>
              <w:rPr>
                <w:bCs/>
              </w:rPr>
              <w:t xml:space="preserve"> </w:t>
            </w:r>
            <w:r w:rsidRPr="0051029A">
              <w:rPr>
                <w:bCs/>
              </w:rPr>
              <w:t>coordenada com todos os transportadores.</w:t>
            </w:r>
          </w:p>
          <w:p w14:paraId="6B5E8A46" w14:textId="11E3BA74" w:rsidR="0032761C" w:rsidRPr="0015156E" w:rsidRDefault="005E48E0" w:rsidP="0032761C">
            <w:pPr>
              <w:jc w:val="both"/>
              <w:rPr>
                <w:bCs/>
              </w:rPr>
            </w:pPr>
            <w:r w:rsidRPr="00F7001F">
              <w:rPr>
                <w:bCs/>
                <w:color w:val="FF0000"/>
              </w:rPr>
              <w:t>§</w:t>
            </w:r>
            <w:r w:rsidR="00F7001F" w:rsidRPr="00F7001F">
              <w:rPr>
                <w:bCs/>
                <w:color w:val="FF0000"/>
              </w:rPr>
              <w:t xml:space="preserve">1º Calendário </w:t>
            </w:r>
            <w:r w:rsidR="00E756FB">
              <w:rPr>
                <w:bCs/>
                <w:color w:val="FF0000"/>
              </w:rPr>
              <w:t>para oferta de produtos de longo</w:t>
            </w:r>
            <w:r w:rsidR="00D17050">
              <w:rPr>
                <w:bCs/>
                <w:color w:val="FF0000"/>
              </w:rPr>
              <w:t xml:space="preserve"> prazo</w:t>
            </w:r>
            <w:r w:rsidR="00E756FB">
              <w:rPr>
                <w:bCs/>
                <w:color w:val="FF0000"/>
              </w:rPr>
              <w:t xml:space="preserve"> </w:t>
            </w:r>
            <w:r w:rsidR="00F7001F" w:rsidRPr="00F7001F">
              <w:rPr>
                <w:bCs/>
                <w:color w:val="FF0000"/>
              </w:rPr>
              <w:t xml:space="preserve">deverá </w:t>
            </w:r>
            <w:r w:rsidR="003C665F">
              <w:rPr>
                <w:bCs/>
                <w:color w:val="FF0000"/>
              </w:rPr>
              <w:t>obedecer</w:t>
            </w:r>
            <w:r w:rsidR="003C665F" w:rsidRPr="00F7001F">
              <w:rPr>
                <w:bCs/>
                <w:color w:val="FF0000"/>
              </w:rPr>
              <w:t xml:space="preserve"> a prazo</w:t>
            </w:r>
            <w:r w:rsidR="00F7001F" w:rsidRPr="00F7001F">
              <w:rPr>
                <w:bCs/>
                <w:color w:val="FF0000"/>
              </w:rPr>
              <w:t xml:space="preserve"> mínimo </w:t>
            </w:r>
            <w:r w:rsidR="00E756FB">
              <w:rPr>
                <w:bCs/>
                <w:color w:val="FF0000"/>
              </w:rPr>
              <w:t xml:space="preserve">de </w:t>
            </w:r>
            <w:r w:rsidR="003C665F">
              <w:rPr>
                <w:bCs/>
                <w:color w:val="FF0000"/>
              </w:rPr>
              <w:t xml:space="preserve">3 </w:t>
            </w:r>
            <w:r w:rsidR="00E756FB">
              <w:rPr>
                <w:bCs/>
                <w:color w:val="FF0000"/>
              </w:rPr>
              <w:t xml:space="preserve">meses </w:t>
            </w:r>
            <w:r w:rsidR="00F7001F" w:rsidRPr="00F7001F">
              <w:rPr>
                <w:bCs/>
                <w:color w:val="FF0000"/>
              </w:rPr>
              <w:t>entre a oferta e o início do ser</w:t>
            </w:r>
            <w:r w:rsidR="00F7001F">
              <w:rPr>
                <w:bCs/>
                <w:color w:val="FF0000"/>
              </w:rPr>
              <w:t>vi</w:t>
            </w:r>
            <w:r w:rsidR="00F7001F" w:rsidRPr="00F7001F">
              <w:rPr>
                <w:bCs/>
                <w:color w:val="FF0000"/>
              </w:rPr>
              <w:t>ço</w:t>
            </w:r>
            <w:r w:rsidR="00F7001F">
              <w:rPr>
                <w:bCs/>
                <w:color w:val="FF0000"/>
              </w:rPr>
              <w:t xml:space="preserve"> d</w:t>
            </w:r>
            <w:r w:rsidR="00B6216D">
              <w:rPr>
                <w:bCs/>
                <w:color w:val="FF0000"/>
              </w:rPr>
              <w:t>e transporte</w:t>
            </w:r>
            <w:r w:rsidR="0032761C" w:rsidRPr="0051029A">
              <w:rPr>
                <w:bCs/>
              </w:rPr>
              <w:t>”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FF939" w14:textId="77777777" w:rsidR="0032761C" w:rsidRDefault="0047247A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Sugerimos previsão explícita para calendário de oferta de capacidade. A alteração está em linha com inciso </w:t>
            </w:r>
            <w:r w:rsidR="001B6C23">
              <w:rPr>
                <w:bCs/>
              </w:rPr>
              <w:t>IX, do art. 5º da resolução 03/2022 do CNPE:</w:t>
            </w:r>
          </w:p>
          <w:p w14:paraId="0B713345" w14:textId="77777777" w:rsidR="00F1449A" w:rsidRDefault="00F1449A" w:rsidP="0032761C">
            <w:pPr>
              <w:jc w:val="both"/>
              <w:rPr>
                <w:bCs/>
              </w:rPr>
            </w:pPr>
          </w:p>
          <w:p w14:paraId="6EB30E94" w14:textId="066E7EEE" w:rsidR="00D13B37" w:rsidRDefault="00F1449A" w:rsidP="0032761C">
            <w:pPr>
              <w:jc w:val="both"/>
            </w:pPr>
            <w:r>
              <w:t>Art. 5º São diretrizes para a abertura do mercado de gás natural, durante o período de transição para um mercado concorrencial de gás natural:</w:t>
            </w:r>
          </w:p>
          <w:p w14:paraId="684FDC8E" w14:textId="60E7E418" w:rsidR="00F1449A" w:rsidRDefault="00F1449A" w:rsidP="0032761C">
            <w:pPr>
              <w:jc w:val="both"/>
              <w:rPr>
                <w:bCs/>
              </w:rPr>
            </w:pPr>
            <w:r>
              <w:rPr>
                <w:bCs/>
              </w:rPr>
              <w:t>...</w:t>
            </w:r>
          </w:p>
          <w:p w14:paraId="24EB8077" w14:textId="3B26626F" w:rsidR="001B6C23" w:rsidRPr="0015156E" w:rsidRDefault="00D13B37" w:rsidP="0032761C">
            <w:pPr>
              <w:jc w:val="both"/>
              <w:rPr>
                <w:bCs/>
              </w:rPr>
            </w:pPr>
            <w:r>
              <w:t xml:space="preserve">IX - </w:t>
            </w:r>
            <w:proofErr w:type="gramStart"/>
            <w:r>
              <w:t>a</w:t>
            </w:r>
            <w:proofErr w:type="gramEnd"/>
            <w:r>
              <w:t xml:space="preserve"> simplificação dos processos de oferta de capacidade de transporte de gás natural, </w:t>
            </w:r>
            <w:r w:rsidRPr="005562EB">
              <w:rPr>
                <w:b/>
                <w:bCs/>
              </w:rPr>
              <w:t>que devem ser promovidos com periodicidade pré-definida</w:t>
            </w:r>
            <w:r>
              <w:t xml:space="preserve"> e com cronogramas amplamente divulgados</w:t>
            </w:r>
            <w:r w:rsidR="00F1449A">
              <w:t>.</w:t>
            </w:r>
          </w:p>
        </w:tc>
      </w:tr>
      <w:tr w:rsidR="004672A0" w:rsidRPr="0015156E" w14:paraId="2D17D559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263171" w14:textId="77777777" w:rsidR="004672A0" w:rsidRDefault="004672A0" w:rsidP="004672A0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7C3DFF5B" w14:textId="77777777" w:rsidR="004672A0" w:rsidRDefault="004672A0" w:rsidP="00635131">
            <w:pPr>
              <w:jc w:val="both"/>
              <w:rPr>
                <w:bCs/>
              </w:rPr>
            </w:pPr>
            <w:r w:rsidRPr="004672A0">
              <w:rPr>
                <w:bCs/>
              </w:rPr>
              <w:t xml:space="preserve">“Art. 12. </w:t>
            </w:r>
          </w:p>
          <w:p w14:paraId="4A2A0572" w14:textId="411BDB5E" w:rsidR="00635131" w:rsidRDefault="00635131" w:rsidP="00635131">
            <w:pPr>
              <w:jc w:val="both"/>
              <w:rPr>
                <w:bCs/>
              </w:rPr>
            </w:pPr>
            <w:r>
              <w:rPr>
                <w:bCs/>
              </w:rPr>
              <w:t>Inclusão de parágrafo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2C9409" w14:textId="77777777" w:rsidR="00635131" w:rsidRDefault="00635131" w:rsidP="00635131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2237F35D" w14:textId="77777777" w:rsidR="00635131" w:rsidRDefault="00635131" w:rsidP="00635131">
            <w:pPr>
              <w:jc w:val="both"/>
              <w:rPr>
                <w:bCs/>
              </w:rPr>
            </w:pPr>
            <w:r w:rsidRPr="004672A0">
              <w:rPr>
                <w:bCs/>
              </w:rPr>
              <w:t xml:space="preserve">“Art. 12. </w:t>
            </w:r>
          </w:p>
          <w:p w14:paraId="491FBFF4" w14:textId="03ACD61B" w:rsidR="004672A0" w:rsidRDefault="00635131" w:rsidP="00635131">
            <w:pPr>
              <w:jc w:val="both"/>
              <w:rPr>
                <w:bCs/>
              </w:rPr>
            </w:pPr>
            <w:r w:rsidRPr="00F7001F">
              <w:rPr>
                <w:bCs/>
                <w:color w:val="FF0000"/>
              </w:rPr>
              <w:t>§</w:t>
            </w:r>
            <w:r>
              <w:rPr>
                <w:bCs/>
                <w:color w:val="FF0000"/>
              </w:rPr>
              <w:t>2</w:t>
            </w:r>
            <w:r w:rsidRPr="00F7001F">
              <w:rPr>
                <w:bCs/>
                <w:color w:val="FF0000"/>
              </w:rPr>
              <w:t>º</w:t>
            </w:r>
            <w:r>
              <w:rPr>
                <w:bCs/>
                <w:color w:val="FF0000"/>
              </w:rPr>
              <w:t xml:space="preserve"> O transportador deve utilizar priorita</w:t>
            </w:r>
            <w:r w:rsidR="0053235F">
              <w:rPr>
                <w:bCs/>
                <w:color w:val="FF0000"/>
              </w:rPr>
              <w:t>riamente ferramentas de mercado para</w:t>
            </w:r>
            <w:r w:rsidR="005C647E">
              <w:rPr>
                <w:bCs/>
                <w:color w:val="FF0000"/>
              </w:rPr>
              <w:t xml:space="preserve"> compra e venda de gás</w:t>
            </w:r>
            <w:r w:rsidR="006B3A55">
              <w:rPr>
                <w:bCs/>
                <w:color w:val="FF0000"/>
              </w:rPr>
              <w:t xml:space="preserve"> a que se refere o caput</w:t>
            </w:r>
            <w:r w:rsidR="0053235F">
              <w:rPr>
                <w:bCs/>
                <w:color w:val="FF0000"/>
              </w:rPr>
              <w:t>, com acesso isonômico a todos os carregadores e comercializadores</w:t>
            </w:r>
            <w:r w:rsidR="00014435">
              <w:rPr>
                <w:bCs/>
                <w:color w:val="FF000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3CFCD" w14:textId="72C32ECD" w:rsidR="004672A0" w:rsidRDefault="006B3A55" w:rsidP="0032761C">
            <w:pPr>
              <w:jc w:val="both"/>
              <w:rPr>
                <w:bCs/>
              </w:rPr>
            </w:pPr>
            <w:r>
              <w:rPr>
                <w:bCs/>
              </w:rPr>
              <w:t>Sugestão de inclusão do parágrafo para garantir que o transportador, ao comprar e vender gás, utilize ferramentas de mercado</w:t>
            </w:r>
            <w:r w:rsidR="00014435">
              <w:rPr>
                <w:bCs/>
              </w:rPr>
              <w:t xml:space="preserve"> para comprar e vender gás natural.</w:t>
            </w:r>
          </w:p>
        </w:tc>
      </w:tr>
      <w:tr w:rsidR="00102AE3" w:rsidRPr="0015156E" w14:paraId="56527ABE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7A202" w14:textId="77777777" w:rsidR="00102AE3" w:rsidRDefault="00102AE3" w:rsidP="00102AE3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0E44BAB0" w14:textId="12B90873" w:rsidR="00102AE3" w:rsidRPr="00102AE3" w:rsidRDefault="00102AE3" w:rsidP="00102AE3">
            <w:pPr>
              <w:jc w:val="both"/>
              <w:rPr>
                <w:bCs/>
              </w:rPr>
            </w:pPr>
            <w:r w:rsidRPr="00102AE3">
              <w:rPr>
                <w:bCs/>
              </w:rPr>
              <w:t>Art. 37-A. O Processo de Oferta e Contratação de Capacidade existente será conduzido pelo</w:t>
            </w:r>
          </w:p>
          <w:p w14:paraId="7DBA9B25" w14:textId="77777777" w:rsidR="00102AE3" w:rsidRPr="00102AE3" w:rsidRDefault="00102AE3" w:rsidP="00102AE3">
            <w:pPr>
              <w:jc w:val="both"/>
              <w:rPr>
                <w:bCs/>
              </w:rPr>
            </w:pPr>
            <w:r w:rsidRPr="00102AE3">
              <w:rPr>
                <w:bCs/>
              </w:rPr>
              <w:t>Transportador, sob a supervisão da ANP, por meio da utilização de plataforma eletrônica dos</w:t>
            </w:r>
          </w:p>
          <w:p w14:paraId="267FF975" w14:textId="7ADED6E5" w:rsidR="00102AE3" w:rsidRDefault="00102AE3" w:rsidP="00102AE3">
            <w:pPr>
              <w:jc w:val="both"/>
              <w:rPr>
                <w:bCs/>
              </w:rPr>
            </w:pPr>
            <w:r w:rsidRPr="00102AE3">
              <w:rPr>
                <w:bCs/>
              </w:rPr>
              <w:t>transportadores e observância dos procedimentos estabelecidos nesta Resolução.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0529C" w14:textId="77777777" w:rsidR="00462FA9" w:rsidRDefault="00462FA9" w:rsidP="00462FA9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1691CDE8" w14:textId="68B8704A" w:rsidR="00102AE3" w:rsidRDefault="00462FA9" w:rsidP="00DD2A4C">
            <w:pPr>
              <w:jc w:val="both"/>
              <w:rPr>
                <w:bCs/>
              </w:rPr>
            </w:pPr>
            <w:r w:rsidRPr="00102AE3">
              <w:rPr>
                <w:bCs/>
              </w:rPr>
              <w:t xml:space="preserve">Art. 37-A. O Processo de Oferta e Contratação de Capacidade existente </w:t>
            </w:r>
            <w:r w:rsidR="00DD2A4C" w:rsidRPr="00DD2A4C">
              <w:rPr>
                <w:bCs/>
                <w:color w:val="FF0000"/>
              </w:rPr>
              <w:t xml:space="preserve">para </w:t>
            </w:r>
            <w:r w:rsidR="00DD2A4C" w:rsidRPr="0050145B">
              <w:rPr>
                <w:bCs/>
                <w:color w:val="FF0000"/>
              </w:rPr>
              <w:t>Serviço de Transporte de Longo Prazo</w:t>
            </w:r>
            <w:r w:rsidR="00DD2A4C" w:rsidRPr="00102AE3">
              <w:rPr>
                <w:bCs/>
              </w:rPr>
              <w:t xml:space="preserve"> </w:t>
            </w:r>
            <w:r w:rsidRPr="00102AE3">
              <w:rPr>
                <w:bCs/>
              </w:rPr>
              <w:t>será conduzido pelo</w:t>
            </w:r>
            <w:r w:rsidR="00DD2A4C">
              <w:rPr>
                <w:bCs/>
              </w:rPr>
              <w:t xml:space="preserve"> </w:t>
            </w:r>
            <w:r w:rsidRPr="00102AE3">
              <w:rPr>
                <w:bCs/>
              </w:rPr>
              <w:t>Transportador, sob a supervisão da ANP, por meio da utilização de plataforma eletrônica dos</w:t>
            </w:r>
            <w:r w:rsidR="00DD2A4C">
              <w:rPr>
                <w:bCs/>
              </w:rPr>
              <w:t xml:space="preserve"> </w:t>
            </w:r>
            <w:r w:rsidRPr="00102AE3">
              <w:rPr>
                <w:bCs/>
              </w:rPr>
              <w:t>transportadores e observância dos procedimentos estabelecidos nesta Resolução.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32D56F" w14:textId="77777777" w:rsidR="00102AE3" w:rsidRDefault="00DD2A4C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Proposta de adequação visa distinguir o </w:t>
            </w:r>
            <w:r w:rsidR="00951F8D">
              <w:rPr>
                <w:bCs/>
              </w:rPr>
              <w:t xml:space="preserve">processo de oferta de capacidade de longo prazo, que deve </w:t>
            </w:r>
            <w:proofErr w:type="gramStart"/>
            <w:r w:rsidR="00951F8D">
              <w:rPr>
                <w:bCs/>
              </w:rPr>
              <w:t>obedecer trâmite</w:t>
            </w:r>
            <w:proofErr w:type="gramEnd"/>
            <w:r w:rsidR="00951F8D">
              <w:rPr>
                <w:bCs/>
              </w:rPr>
              <w:t xml:space="preserve"> específ</w:t>
            </w:r>
            <w:r w:rsidR="0041766E">
              <w:rPr>
                <w:bCs/>
              </w:rPr>
              <w:t>ico, da de curto prazo.</w:t>
            </w:r>
          </w:p>
          <w:p w14:paraId="7294ECEF" w14:textId="57DC25D7" w:rsidR="0041766E" w:rsidRDefault="0041766E" w:rsidP="0032761C">
            <w:pPr>
              <w:jc w:val="both"/>
              <w:rPr>
                <w:bCs/>
              </w:rPr>
            </w:pPr>
            <w:r>
              <w:rPr>
                <w:bCs/>
              </w:rPr>
              <w:t>Para o curto prazo é sugerido processo simplificado abaixo.</w:t>
            </w:r>
          </w:p>
        </w:tc>
      </w:tr>
      <w:tr w:rsidR="0032761C" w:rsidRPr="0015156E" w14:paraId="73D6A80D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8B2C23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5B8BBA40" w14:textId="77777777" w:rsidR="0032761C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Art. 37-A.</w:t>
            </w:r>
          </w:p>
          <w:p w14:paraId="18E15A0D" w14:textId="209DA68F" w:rsidR="0032761C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§5º</w:t>
            </w:r>
          </w:p>
          <w:p w14:paraId="59244A6C" w14:textId="7EB09C91" w:rsidR="0032761C" w:rsidRPr="0015156E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III - análise das propostas garantidas vinculantes e alocação de capacidade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77FA69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68CE776B" w14:textId="77777777" w:rsidR="0032761C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Art. 37-A.</w:t>
            </w:r>
          </w:p>
          <w:p w14:paraId="53C83131" w14:textId="77777777" w:rsidR="0032761C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§5º</w:t>
            </w:r>
          </w:p>
          <w:p w14:paraId="6047FF74" w14:textId="00BDE6CD" w:rsidR="0032761C" w:rsidRPr="0015156E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III - análise das propostas garantidas vinculantes e alocação de capacidade</w:t>
            </w:r>
            <w:r>
              <w:rPr>
                <w:bCs/>
              </w:rPr>
              <w:t xml:space="preserve"> </w:t>
            </w:r>
            <w:r w:rsidRPr="0051029A">
              <w:rPr>
                <w:bCs/>
                <w:color w:val="FF0000"/>
              </w:rPr>
              <w:t>de forma isonômica e não discriminatória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FE666" w14:textId="593441B2" w:rsidR="0032761C" w:rsidRPr="0015156E" w:rsidRDefault="000636A6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Inclusão do termo </w:t>
            </w:r>
            <w:r w:rsidRPr="000636A6">
              <w:rPr>
                <w:bCs/>
              </w:rPr>
              <w:t>“de forma isonômica e não discriminatória”</w:t>
            </w:r>
            <w:r>
              <w:rPr>
                <w:bCs/>
              </w:rPr>
              <w:t xml:space="preserve"> busca </w:t>
            </w:r>
            <w:r w:rsidR="00C82C61">
              <w:rPr>
                <w:bCs/>
              </w:rPr>
              <w:t>garantir, em resolução, que a forma de alocação das capacidades entre os carregadores que participam do processo de Oferta de C</w:t>
            </w:r>
            <w:r w:rsidR="00D02BAB">
              <w:rPr>
                <w:bCs/>
              </w:rPr>
              <w:t>apacidade não será discriminatória.</w:t>
            </w:r>
          </w:p>
        </w:tc>
      </w:tr>
      <w:tr w:rsidR="00856954" w:rsidRPr="0015156E" w14:paraId="69D97CA4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0F0BD" w14:textId="77777777" w:rsidR="00856954" w:rsidRDefault="00856954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34060989" w14:textId="0F874F4D" w:rsidR="00856954" w:rsidRDefault="00856954" w:rsidP="0032761C">
            <w:pPr>
              <w:jc w:val="both"/>
              <w:rPr>
                <w:bCs/>
              </w:rPr>
            </w:pPr>
            <w:r w:rsidRPr="00856954">
              <w:rPr>
                <w:bCs/>
              </w:rPr>
              <w:lastRenderedPageBreak/>
              <w:t>“Art. 38-A. O regulamento do Processo de Oferta e Contratação de Capacidade disporá sobre: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496969" w14:textId="77777777" w:rsidR="00C67260" w:rsidRDefault="00C67260" w:rsidP="00C67260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66A88D0E" w14:textId="0290EDBE" w:rsidR="00856954" w:rsidRDefault="00C67260" w:rsidP="00C67260">
            <w:pPr>
              <w:jc w:val="both"/>
              <w:rPr>
                <w:bCs/>
              </w:rPr>
            </w:pPr>
            <w:r w:rsidRPr="00856954">
              <w:rPr>
                <w:bCs/>
              </w:rPr>
              <w:lastRenderedPageBreak/>
              <w:t xml:space="preserve">“Art. 38-A. O regulamento do Processo de Oferta e Contratação de Capacidade </w:t>
            </w:r>
            <w:r w:rsidRPr="00DD2A4C">
              <w:rPr>
                <w:bCs/>
                <w:color w:val="FF0000"/>
              </w:rPr>
              <w:t xml:space="preserve">para </w:t>
            </w:r>
            <w:r w:rsidRPr="0050145B">
              <w:rPr>
                <w:bCs/>
                <w:color w:val="FF0000"/>
              </w:rPr>
              <w:t>Serviço de Transporte de Longo Prazo</w:t>
            </w:r>
            <w:r w:rsidRPr="00856954">
              <w:rPr>
                <w:bCs/>
              </w:rPr>
              <w:t xml:space="preserve"> disporá sobre: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384C71" w14:textId="6A10D8D9" w:rsidR="00856954" w:rsidRDefault="00C67260" w:rsidP="0032761C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Adequação em linha com alteração proposta no art. </w:t>
            </w:r>
            <w:r w:rsidR="003208EC">
              <w:rPr>
                <w:bCs/>
              </w:rPr>
              <w:t>37A</w:t>
            </w:r>
          </w:p>
        </w:tc>
      </w:tr>
      <w:tr w:rsidR="0032761C" w:rsidRPr="0015156E" w14:paraId="4D1DDBEF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4FCCCB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3570790A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38A</w:t>
            </w:r>
          </w:p>
          <w:p w14:paraId="46218E16" w14:textId="1247C850" w:rsidR="0032761C" w:rsidRDefault="0032761C" w:rsidP="0032761C">
            <w:pPr>
              <w:jc w:val="both"/>
              <w:rPr>
                <w:bCs/>
              </w:rPr>
            </w:pPr>
            <w:r w:rsidRPr="004D3010">
              <w:rPr>
                <w:bCs/>
              </w:rPr>
              <w:t xml:space="preserve">IV - </w:t>
            </w:r>
            <w:proofErr w:type="gramStart"/>
            <w:r w:rsidRPr="004D3010">
              <w:rPr>
                <w:bCs/>
              </w:rPr>
              <w:t>a</w:t>
            </w:r>
            <w:proofErr w:type="gramEnd"/>
            <w:r w:rsidRPr="004D3010">
              <w:rPr>
                <w:bCs/>
              </w:rPr>
              <w:t xml:space="preserve"> metodologia de cálculo tarifário a ser adotada na fixação da tarifa de referência;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B48F1E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4BE31B09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38A</w:t>
            </w:r>
          </w:p>
          <w:p w14:paraId="1054AF9F" w14:textId="0792E2CB" w:rsidR="0032761C" w:rsidRDefault="0032761C" w:rsidP="0032761C">
            <w:pPr>
              <w:jc w:val="both"/>
              <w:rPr>
                <w:bCs/>
              </w:rPr>
            </w:pPr>
            <w:r w:rsidRPr="004D3010">
              <w:rPr>
                <w:bCs/>
              </w:rPr>
              <w:t xml:space="preserve">IV - </w:t>
            </w:r>
            <w:proofErr w:type="gramStart"/>
            <w:r w:rsidRPr="004D3010">
              <w:rPr>
                <w:bCs/>
              </w:rPr>
              <w:t>a</w:t>
            </w:r>
            <w:proofErr w:type="gramEnd"/>
            <w:r w:rsidRPr="004D3010">
              <w:rPr>
                <w:bCs/>
              </w:rPr>
              <w:t xml:space="preserve"> metodologia de cálculo tarifário a ser adotada na fixação da tarifa de referência</w:t>
            </w:r>
            <w:r>
              <w:rPr>
                <w:bCs/>
              </w:rPr>
              <w:t xml:space="preserve"> </w:t>
            </w:r>
            <w:r w:rsidRPr="0032761C">
              <w:rPr>
                <w:bCs/>
                <w:color w:val="FF0000"/>
              </w:rPr>
              <w:t xml:space="preserve">com base na RMP definida pela ANP e saldo da </w:t>
            </w:r>
            <w:r w:rsidR="00AD1504">
              <w:rPr>
                <w:bCs/>
                <w:color w:val="FF0000"/>
              </w:rPr>
              <w:t>C</w:t>
            </w:r>
            <w:r w:rsidRPr="0032761C">
              <w:rPr>
                <w:bCs/>
                <w:color w:val="FF0000"/>
              </w:rPr>
              <w:t xml:space="preserve">onta </w:t>
            </w:r>
            <w:r w:rsidR="00AD1504">
              <w:rPr>
                <w:bCs/>
                <w:color w:val="FF0000"/>
              </w:rPr>
              <w:t>R</w:t>
            </w:r>
            <w:r w:rsidRPr="0032761C">
              <w:rPr>
                <w:bCs/>
                <w:color w:val="FF0000"/>
              </w:rPr>
              <w:t>egulatória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E22122" w14:textId="09824AC0" w:rsidR="0032761C" w:rsidRPr="0015156E" w:rsidRDefault="00DB72C9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Sugestão </w:t>
            </w:r>
            <w:r w:rsidR="002D1886">
              <w:rPr>
                <w:bCs/>
              </w:rPr>
              <w:t xml:space="preserve">prevê maior detalhamento da metodologia do cálculo tarifário. Hoje temos dificuldade em reproduzir o cálculo tarifário da TBG com base </w:t>
            </w:r>
            <w:r w:rsidR="00EF29C1">
              <w:rPr>
                <w:bCs/>
              </w:rPr>
              <w:t xml:space="preserve">na revisão tarifária realizada em 2019. É necessário explicitar </w:t>
            </w:r>
            <w:r w:rsidR="00985410">
              <w:rPr>
                <w:bCs/>
              </w:rPr>
              <w:t xml:space="preserve">a RMP autorizada para o período (n) que está sendo ofertado a capacidade e </w:t>
            </w:r>
            <w:r w:rsidR="00EF29C1">
              <w:rPr>
                <w:bCs/>
              </w:rPr>
              <w:t xml:space="preserve">o saldo da conta regulatória (Receita autorizada </w:t>
            </w:r>
            <w:r w:rsidR="00985410">
              <w:rPr>
                <w:bCs/>
              </w:rPr>
              <w:t xml:space="preserve">(n-1) </w:t>
            </w:r>
            <w:r w:rsidR="00EF29C1">
              <w:rPr>
                <w:bCs/>
              </w:rPr>
              <w:t>x Receita auferida</w:t>
            </w:r>
            <w:r w:rsidR="00985410">
              <w:rPr>
                <w:bCs/>
              </w:rPr>
              <w:t xml:space="preserve"> (n-1)</w:t>
            </w:r>
            <w:r w:rsidR="00EF29C1">
              <w:rPr>
                <w:bCs/>
              </w:rPr>
              <w:t>)</w:t>
            </w:r>
            <w:r w:rsidR="00985410">
              <w:rPr>
                <w:bCs/>
              </w:rPr>
              <w:t>.</w:t>
            </w:r>
          </w:p>
        </w:tc>
      </w:tr>
      <w:tr w:rsidR="0032761C" w:rsidRPr="0015156E" w14:paraId="5A0EE3FD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F19B50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43999BF4" w14:textId="101645B8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38A</w:t>
            </w:r>
          </w:p>
          <w:p w14:paraId="3161B6E4" w14:textId="579C2146" w:rsidR="0032761C" w:rsidRPr="0051029A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§ 2º O regulamento poderá ser substituído por um contrato master com o conteúdo mínimo</w:t>
            </w:r>
          </w:p>
          <w:p w14:paraId="44596531" w14:textId="3252771A" w:rsidR="0032761C" w:rsidRPr="0015156E" w:rsidRDefault="0032761C" w:rsidP="0032761C">
            <w:pPr>
              <w:jc w:val="both"/>
              <w:rPr>
                <w:bCs/>
              </w:rPr>
            </w:pPr>
            <w:r w:rsidRPr="0051029A">
              <w:rPr>
                <w:bCs/>
              </w:rPr>
              <w:t>definido neste artigo, mediante prévia aprovação da ANP</w:t>
            </w:r>
            <w:r>
              <w:rPr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67C7EB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326D4EA6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38A</w:t>
            </w:r>
          </w:p>
          <w:p w14:paraId="348BD095" w14:textId="193959B2" w:rsidR="0032761C" w:rsidRPr="0015156E" w:rsidRDefault="0032761C" w:rsidP="00992FE7">
            <w:pPr>
              <w:jc w:val="both"/>
              <w:rPr>
                <w:bCs/>
              </w:rPr>
            </w:pPr>
            <w:r w:rsidRPr="0051029A">
              <w:rPr>
                <w:bCs/>
                <w:strike/>
                <w:color w:val="FF0000"/>
              </w:rPr>
              <w:t>§ 2º O regulamento poderá ser substituído por um contrato master com o conteúdo mínimo</w:t>
            </w:r>
            <w:r w:rsidR="00992FE7">
              <w:rPr>
                <w:bCs/>
                <w:strike/>
                <w:color w:val="FF0000"/>
              </w:rPr>
              <w:t xml:space="preserve"> </w:t>
            </w:r>
            <w:r w:rsidRPr="0051029A">
              <w:rPr>
                <w:bCs/>
                <w:strike/>
                <w:color w:val="FF0000"/>
              </w:rPr>
              <w:t>definido neste artigo, mediante prévia aprovação da ANP.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CDBE6A" w14:textId="703238D1" w:rsidR="0032761C" w:rsidRPr="0015156E" w:rsidRDefault="006A1227" w:rsidP="0032761C">
            <w:pPr>
              <w:jc w:val="both"/>
              <w:rPr>
                <w:bCs/>
              </w:rPr>
            </w:pPr>
            <w:r>
              <w:rPr>
                <w:bCs/>
              </w:rPr>
              <w:t>O conteúdo do regulamento</w:t>
            </w:r>
            <w:r w:rsidR="00A826B2">
              <w:rPr>
                <w:bCs/>
              </w:rPr>
              <w:t xml:space="preserve"> do</w:t>
            </w:r>
            <w:r>
              <w:rPr>
                <w:bCs/>
              </w:rPr>
              <w:t xml:space="preserve"> </w:t>
            </w:r>
            <w:r w:rsidR="00A826B2" w:rsidRPr="00A826B2">
              <w:rPr>
                <w:bCs/>
              </w:rPr>
              <w:t>Processo de Oferta e Contratação de Capacidade</w:t>
            </w:r>
            <w:r w:rsidR="00A826B2">
              <w:rPr>
                <w:bCs/>
              </w:rPr>
              <w:t xml:space="preserve"> </w:t>
            </w:r>
            <w:r w:rsidR="00992FE7">
              <w:rPr>
                <w:bCs/>
              </w:rPr>
              <w:t>é diferente do</w:t>
            </w:r>
            <w:r w:rsidR="005A0A75">
              <w:rPr>
                <w:bCs/>
              </w:rPr>
              <w:t xml:space="preserve">s direitos e deveres previstos em um </w:t>
            </w:r>
            <w:r w:rsidR="00992FE7">
              <w:rPr>
                <w:bCs/>
              </w:rPr>
              <w:t xml:space="preserve">contrato </w:t>
            </w:r>
            <w:r w:rsidR="005A0A75">
              <w:rPr>
                <w:bCs/>
              </w:rPr>
              <w:t>de transporte. A publicação do</w:t>
            </w:r>
            <w:r w:rsidR="001429CA">
              <w:rPr>
                <w:bCs/>
              </w:rPr>
              <w:t xml:space="preserve"> regulamento deve ser </w:t>
            </w:r>
            <w:r w:rsidR="008A2340">
              <w:rPr>
                <w:bCs/>
              </w:rPr>
              <w:t>obrigatória</w:t>
            </w:r>
            <w:r w:rsidR="00BF3DCC">
              <w:rPr>
                <w:bCs/>
              </w:rPr>
              <w:t>.</w:t>
            </w:r>
          </w:p>
        </w:tc>
      </w:tr>
      <w:tr w:rsidR="0032761C" w:rsidRPr="00D81594" w14:paraId="064C850A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D4CD4D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47D4F889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38A</w:t>
            </w:r>
          </w:p>
          <w:p w14:paraId="084D47F1" w14:textId="585B4EBF" w:rsidR="0032761C" w:rsidRPr="0015156E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E8E601" w14:textId="77777777" w:rsidR="0032761C" w:rsidRPr="00371B4B" w:rsidRDefault="0032761C" w:rsidP="0032761C">
            <w:pPr>
              <w:jc w:val="both"/>
              <w:rPr>
                <w:bCs/>
              </w:rPr>
            </w:pPr>
            <w:r w:rsidRPr="00371B4B">
              <w:rPr>
                <w:bCs/>
              </w:rPr>
              <w:t>Art. 2</w:t>
            </w:r>
          </w:p>
          <w:p w14:paraId="1ECC8E6E" w14:textId="77777777" w:rsidR="0032761C" w:rsidRPr="00371B4B" w:rsidRDefault="0032761C" w:rsidP="0032761C">
            <w:pPr>
              <w:jc w:val="both"/>
              <w:rPr>
                <w:bCs/>
              </w:rPr>
            </w:pPr>
            <w:proofErr w:type="spellStart"/>
            <w:r w:rsidRPr="00371B4B">
              <w:rPr>
                <w:bCs/>
              </w:rPr>
              <w:t>Art</w:t>
            </w:r>
            <w:proofErr w:type="spellEnd"/>
            <w:r w:rsidRPr="00371B4B">
              <w:rPr>
                <w:bCs/>
              </w:rPr>
              <w:t xml:space="preserve"> 38A</w:t>
            </w:r>
          </w:p>
          <w:p w14:paraId="17CD92AA" w14:textId="3674F529" w:rsidR="0032761C" w:rsidRPr="00D81594" w:rsidRDefault="0032761C" w:rsidP="0032761C">
            <w:pPr>
              <w:jc w:val="both"/>
              <w:rPr>
                <w:bCs/>
                <w:color w:val="FF0000"/>
              </w:rPr>
            </w:pPr>
            <w:r w:rsidRPr="00D81594">
              <w:rPr>
                <w:bCs/>
                <w:color w:val="FF0000"/>
              </w:rPr>
              <w:t>§ 3º O regulamento deverá ser padronizado entre os transportadores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803A61" w14:textId="640276CC" w:rsidR="0032761C" w:rsidRPr="00D81594" w:rsidRDefault="00FC64A0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Da mesma forma que pleiteamos a padronização dos contratos de transporte, solicitamos também que seja incluído </w:t>
            </w:r>
            <w:r w:rsidR="00507A3C">
              <w:rPr>
                <w:bCs/>
              </w:rPr>
              <w:t xml:space="preserve">em resolução que os regulamentos das ofertas de capacidade sejam </w:t>
            </w:r>
            <w:r w:rsidR="00E241A4">
              <w:rPr>
                <w:bCs/>
              </w:rPr>
              <w:t>padronizados</w:t>
            </w:r>
            <w:r w:rsidR="00507A3C">
              <w:rPr>
                <w:bCs/>
              </w:rPr>
              <w:t>.</w:t>
            </w:r>
          </w:p>
        </w:tc>
      </w:tr>
      <w:tr w:rsidR="0032761C" w:rsidRPr="0051029A" w14:paraId="29B10CFD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B80724" w14:textId="77777777" w:rsidR="0032761C" w:rsidRDefault="0032761C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2.</w:t>
            </w:r>
          </w:p>
          <w:p w14:paraId="5CF698C3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38 B</w:t>
            </w:r>
          </w:p>
          <w:p w14:paraId="5C7C303A" w14:textId="7B4F62E1" w:rsidR="0032761C" w:rsidRPr="0015156E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C3F7BA" w14:textId="77777777" w:rsidR="0032761C" w:rsidRDefault="0032761C" w:rsidP="0032761C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2352FD89" w14:textId="29E0CA37" w:rsidR="0032761C" w:rsidRPr="0051029A" w:rsidRDefault="0032761C" w:rsidP="0032761C">
            <w:pPr>
              <w:jc w:val="both"/>
              <w:rPr>
                <w:bCs/>
                <w:color w:val="FF0000"/>
              </w:rPr>
            </w:pPr>
            <w:r w:rsidRPr="00371B4B">
              <w:rPr>
                <w:bCs/>
                <w:color w:val="FF0000"/>
              </w:rPr>
              <w:t>“</w:t>
            </w:r>
            <w:proofErr w:type="spellStart"/>
            <w:r w:rsidRPr="00371B4B">
              <w:rPr>
                <w:bCs/>
                <w:color w:val="FF0000"/>
              </w:rPr>
              <w:t>Art</w:t>
            </w:r>
            <w:proofErr w:type="spellEnd"/>
            <w:r w:rsidRPr="00371B4B">
              <w:rPr>
                <w:bCs/>
                <w:color w:val="FF0000"/>
              </w:rPr>
              <w:t xml:space="preserve"> 38B. </w:t>
            </w:r>
            <w:r w:rsidRPr="0051029A">
              <w:rPr>
                <w:bCs/>
                <w:color w:val="FF0000"/>
              </w:rPr>
              <w:t>A ANP deverá periodicamente re</w:t>
            </w:r>
            <w:r>
              <w:rPr>
                <w:bCs/>
                <w:color w:val="FF0000"/>
              </w:rPr>
              <w:t xml:space="preserve">alizar consultas públicas para aprimoramento dos contratos de transporte e dos regulamentos do </w:t>
            </w:r>
            <w:r w:rsidRPr="0051029A">
              <w:rPr>
                <w:bCs/>
                <w:color w:val="FF0000"/>
              </w:rPr>
              <w:t>Processo de Oferta e Contratação de Capacidade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9DD72B" w14:textId="77777777" w:rsidR="0032761C" w:rsidRDefault="00E241A4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A simplificação dos processos de oferta de capacidade prevê a eliminação da etapa de consulta pública, onde os carregadores podem opinar sobre os regulamentos das ofertas e </w:t>
            </w:r>
            <w:r w:rsidR="00677F9B">
              <w:rPr>
                <w:bCs/>
              </w:rPr>
              <w:t xml:space="preserve">sobre os contratos de transporte. </w:t>
            </w:r>
          </w:p>
          <w:p w14:paraId="41D529CA" w14:textId="09FABB15" w:rsidR="00677F9B" w:rsidRPr="0051029A" w:rsidRDefault="00677F9B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Apoiamos a simplificação, objeto das alterações propostas, mas entendemos necessário prever consultas públicas específicas para melhoria contínua dos contratos de transporte e regulamentos. </w:t>
            </w:r>
            <w:r w:rsidR="00D164AD">
              <w:rPr>
                <w:bCs/>
              </w:rPr>
              <w:t xml:space="preserve">Apesar das melhorias realizadas nos contratos nos últimos anos, é senso comum entre os agentes de mercado que os contratos ainda são complexos e </w:t>
            </w:r>
            <w:r w:rsidR="00C354A2">
              <w:rPr>
                <w:bCs/>
              </w:rPr>
              <w:t>com muitas penalidades aos contratantes.</w:t>
            </w:r>
          </w:p>
        </w:tc>
      </w:tr>
      <w:tr w:rsidR="00950062" w:rsidRPr="0051029A" w14:paraId="7738DD9E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698034" w14:textId="77777777" w:rsidR="00973A64" w:rsidRDefault="00973A64" w:rsidP="00973A64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0DCB9697" w14:textId="6ECFFEB6" w:rsidR="00950062" w:rsidRDefault="00973A64" w:rsidP="0032761C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4A41C2" w14:textId="77777777" w:rsidR="00950062" w:rsidRDefault="00950062" w:rsidP="000E06A3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46EF12B7" w14:textId="0FAA520F" w:rsidR="003D767E" w:rsidRPr="003D767E" w:rsidRDefault="00950062" w:rsidP="003D767E">
            <w:pPr>
              <w:jc w:val="both"/>
              <w:rPr>
                <w:bCs/>
                <w:color w:val="FF0000"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38C – </w:t>
            </w:r>
            <w:r w:rsidR="00762D6D" w:rsidRPr="00762D6D">
              <w:rPr>
                <w:bCs/>
                <w:color w:val="FF0000"/>
              </w:rPr>
              <w:t xml:space="preserve">O Processo de Oferta e Contratação de Capacidade existente para Serviço de Transporte de </w:t>
            </w:r>
            <w:r w:rsidR="005F699C">
              <w:rPr>
                <w:bCs/>
                <w:color w:val="FF0000"/>
              </w:rPr>
              <w:t>Curto</w:t>
            </w:r>
            <w:r w:rsidR="00762D6D" w:rsidRPr="00762D6D">
              <w:rPr>
                <w:bCs/>
                <w:color w:val="FF0000"/>
              </w:rPr>
              <w:t xml:space="preserve"> Prazo</w:t>
            </w:r>
            <w:r w:rsidR="003D767E">
              <w:rPr>
                <w:bCs/>
                <w:color w:val="FF0000"/>
              </w:rPr>
              <w:t xml:space="preserve"> s</w:t>
            </w:r>
            <w:r w:rsidR="003D767E" w:rsidRPr="003D767E">
              <w:rPr>
                <w:bCs/>
                <w:color w:val="FF0000"/>
              </w:rPr>
              <w:t>erá conduzido pelo</w:t>
            </w:r>
            <w:r w:rsidR="003D767E">
              <w:rPr>
                <w:bCs/>
                <w:color w:val="FF0000"/>
              </w:rPr>
              <w:t xml:space="preserve"> </w:t>
            </w:r>
            <w:r w:rsidR="003D767E" w:rsidRPr="003D767E">
              <w:rPr>
                <w:bCs/>
                <w:color w:val="FF0000"/>
              </w:rPr>
              <w:t>Transportador, por meio da utilização de plataforma eletrônica dos</w:t>
            </w:r>
            <w:r w:rsidR="004D43D8">
              <w:rPr>
                <w:bCs/>
                <w:color w:val="FF0000"/>
              </w:rPr>
              <w:t xml:space="preserve"> </w:t>
            </w:r>
            <w:r w:rsidR="003D767E" w:rsidRPr="003D767E">
              <w:rPr>
                <w:bCs/>
                <w:color w:val="FF0000"/>
              </w:rPr>
              <w:t>transportadores e observância dos procedimentos estabelecidos nesta Resolução.</w:t>
            </w:r>
          </w:p>
          <w:p w14:paraId="430BD00C" w14:textId="0A5B86F3" w:rsidR="00950062" w:rsidRDefault="00615685" w:rsidP="003D767E">
            <w:pPr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I - </w:t>
            </w:r>
            <w:r w:rsidR="004D43D8">
              <w:rPr>
                <w:bCs/>
                <w:color w:val="FF0000"/>
              </w:rPr>
              <w:t>A</w:t>
            </w:r>
            <w:r w:rsidR="004D43D8" w:rsidRPr="004D43D8">
              <w:rPr>
                <w:bCs/>
                <w:color w:val="FF0000"/>
              </w:rPr>
              <w:t xml:space="preserve"> minuta do contrato de serviço de transporte de gás natural</w:t>
            </w:r>
            <w:r w:rsidR="00207DA0">
              <w:rPr>
                <w:bCs/>
                <w:color w:val="FF0000"/>
              </w:rPr>
              <w:t xml:space="preserve"> será igual ao Serviço de transporte de Longo Prazo, diferindo apenas no prazo</w:t>
            </w:r>
            <w:r>
              <w:rPr>
                <w:bCs/>
                <w:color w:val="FF0000"/>
              </w:rPr>
              <w:t xml:space="preserve"> e</w:t>
            </w:r>
            <w:r w:rsidR="00207DA0">
              <w:rPr>
                <w:bCs/>
                <w:color w:val="FF0000"/>
              </w:rPr>
              <w:t xml:space="preserve"> valor</w:t>
            </w:r>
            <w:r>
              <w:rPr>
                <w:bCs/>
                <w:color w:val="FF0000"/>
              </w:rPr>
              <w:t>;</w:t>
            </w:r>
          </w:p>
          <w:p w14:paraId="09C9982D" w14:textId="7765C09A" w:rsidR="00615685" w:rsidRDefault="00615685" w:rsidP="003D767E">
            <w:pPr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II </w:t>
            </w:r>
            <w:r w:rsidR="00CC11E6">
              <w:rPr>
                <w:bCs/>
                <w:color w:val="FF0000"/>
              </w:rPr>
              <w:t>–</w:t>
            </w:r>
            <w:r w:rsidR="00DD08DD">
              <w:rPr>
                <w:bCs/>
                <w:color w:val="FF0000"/>
              </w:rPr>
              <w:t xml:space="preserve"> </w:t>
            </w:r>
            <w:r w:rsidR="00CC11E6">
              <w:rPr>
                <w:bCs/>
                <w:color w:val="FF0000"/>
              </w:rPr>
              <w:t>A tarifa será calculada com base na tarifa de Serviço de transporte de Longo Prazo</w:t>
            </w:r>
            <w:r w:rsidR="009036B5">
              <w:rPr>
                <w:bCs/>
                <w:color w:val="FF0000"/>
              </w:rPr>
              <w:t>, sendo os</w:t>
            </w:r>
            <w:r w:rsidR="00CC11E6">
              <w:rPr>
                <w:bCs/>
                <w:color w:val="FF0000"/>
              </w:rPr>
              <w:t xml:space="preserve"> multiplicadores </w:t>
            </w:r>
            <w:r w:rsidR="009036B5">
              <w:rPr>
                <w:bCs/>
                <w:color w:val="FF0000"/>
              </w:rPr>
              <w:t>aprovados previamente pela ANP.</w:t>
            </w:r>
          </w:p>
          <w:p w14:paraId="3F47F3A3" w14:textId="77777777" w:rsidR="00EF4AF3" w:rsidRDefault="00615685" w:rsidP="000E06A3">
            <w:pPr>
              <w:jc w:val="both"/>
              <w:rPr>
                <w:bCs/>
                <w:color w:val="FF0000"/>
              </w:rPr>
            </w:pPr>
            <w:r w:rsidRPr="003D767E">
              <w:rPr>
                <w:bCs/>
                <w:color w:val="FF0000"/>
              </w:rPr>
              <w:t>§1º</w:t>
            </w:r>
            <w:r>
              <w:rPr>
                <w:bCs/>
                <w:color w:val="FF0000"/>
              </w:rPr>
              <w:t xml:space="preserve"> </w:t>
            </w:r>
            <w:r w:rsidR="005219B2">
              <w:rPr>
                <w:bCs/>
                <w:color w:val="FF0000"/>
              </w:rPr>
              <w:t>A oferta de capacidade que trata este artigo deve o</w:t>
            </w:r>
            <w:r w:rsidR="00EF4AF3">
              <w:rPr>
                <w:bCs/>
                <w:color w:val="FF0000"/>
              </w:rPr>
              <w:t xml:space="preserve">bedecer </w:t>
            </w:r>
            <w:r w:rsidR="00D55708">
              <w:rPr>
                <w:bCs/>
                <w:color w:val="FF0000"/>
              </w:rPr>
              <w:t xml:space="preserve">à hierarquia temporal, conforme disposto no </w:t>
            </w:r>
            <w:r w:rsidR="00EF4AF3" w:rsidRPr="00EF4AF3">
              <w:rPr>
                <w:bCs/>
                <w:color w:val="FF0000"/>
              </w:rPr>
              <w:t>Art. 6º-A</w:t>
            </w:r>
            <w:r w:rsidR="00F22873">
              <w:rPr>
                <w:bCs/>
                <w:color w:val="FF0000"/>
              </w:rPr>
              <w:t>.</w:t>
            </w:r>
          </w:p>
          <w:p w14:paraId="565CE0B7" w14:textId="56D3BCE2" w:rsidR="00F22873" w:rsidRDefault="00F22873" w:rsidP="000E06A3">
            <w:pPr>
              <w:jc w:val="both"/>
              <w:rPr>
                <w:bCs/>
              </w:rPr>
            </w:pPr>
            <w:r w:rsidRPr="003D767E">
              <w:rPr>
                <w:bCs/>
                <w:color w:val="FF0000"/>
              </w:rPr>
              <w:t>§</w:t>
            </w:r>
            <w:r>
              <w:rPr>
                <w:bCs/>
                <w:color w:val="FF0000"/>
              </w:rPr>
              <w:t>2</w:t>
            </w:r>
            <w:r w:rsidRPr="003D767E">
              <w:rPr>
                <w:bCs/>
                <w:color w:val="FF0000"/>
              </w:rPr>
              <w:t>º</w:t>
            </w:r>
            <w:r>
              <w:rPr>
                <w:bCs/>
                <w:color w:val="FF0000"/>
              </w:rPr>
              <w:t xml:space="preserve"> Não será exigido </w:t>
            </w:r>
            <w:r w:rsidR="00362324">
              <w:rPr>
                <w:bCs/>
                <w:color w:val="FF0000"/>
              </w:rPr>
              <w:t>regulamento específico para Oferta de Capacidade de Curto Prazo</w:t>
            </w:r>
            <w:r w:rsidR="00033A11">
              <w:rPr>
                <w:bCs/>
                <w:color w:val="FF000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F02177" w14:textId="77777777" w:rsidR="00950062" w:rsidRDefault="00033A11" w:rsidP="0032761C">
            <w:pPr>
              <w:jc w:val="both"/>
              <w:rPr>
                <w:bCs/>
              </w:rPr>
            </w:pPr>
            <w:r>
              <w:rPr>
                <w:bCs/>
              </w:rPr>
              <w:t>De acordo com exposto previamente, propomos separar os procedimentos para oferta de capacidade de longo e curto prazo. O longo prazo sendo regulado pelos art. 37 e 38 A</w:t>
            </w:r>
            <w:r w:rsidR="003B4FE1">
              <w:rPr>
                <w:bCs/>
              </w:rPr>
              <w:t>.</w:t>
            </w:r>
          </w:p>
          <w:p w14:paraId="4425BFB8" w14:textId="3A6B6AC7" w:rsidR="003B4FE1" w:rsidRDefault="003B4FE1" w:rsidP="0032761C">
            <w:pPr>
              <w:jc w:val="both"/>
              <w:rPr>
                <w:bCs/>
              </w:rPr>
            </w:pPr>
            <w:r>
              <w:rPr>
                <w:bCs/>
              </w:rPr>
              <w:t>Sugerimos inclusão deste artigo para detalhar a forma de oferta para produtos de curto prazo.</w:t>
            </w:r>
          </w:p>
        </w:tc>
      </w:tr>
      <w:tr w:rsidR="00FE066D" w:rsidRPr="0051029A" w14:paraId="4A7880D1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3226DE" w14:textId="77777777" w:rsidR="00FE066D" w:rsidRDefault="00FE066D" w:rsidP="0032761C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Art. 2</w:t>
            </w:r>
          </w:p>
          <w:p w14:paraId="20EF9ECB" w14:textId="77777777" w:rsidR="000E06A3" w:rsidRDefault="000E06A3" w:rsidP="00FE066D">
            <w:pPr>
              <w:jc w:val="both"/>
              <w:rPr>
                <w:bCs/>
              </w:rPr>
            </w:pPr>
            <w:r>
              <w:rPr>
                <w:bCs/>
              </w:rPr>
              <w:t xml:space="preserve">Art. 42A </w:t>
            </w:r>
          </w:p>
          <w:p w14:paraId="6EF5A2DD" w14:textId="601F042A" w:rsidR="00FE066D" w:rsidRDefault="00FE066D" w:rsidP="00FE066D">
            <w:pPr>
              <w:jc w:val="both"/>
              <w:rPr>
                <w:bCs/>
              </w:rPr>
            </w:pPr>
            <w:r w:rsidRPr="00FE066D">
              <w:rPr>
                <w:bCs/>
              </w:rPr>
              <w:t>§3º A proposta tarifária será posta em consulta pública tarifária, em conformidade com o disposto</w:t>
            </w:r>
            <w:r>
              <w:rPr>
                <w:bCs/>
              </w:rPr>
              <w:t xml:space="preserve"> </w:t>
            </w:r>
            <w:r w:rsidRPr="00FE066D">
              <w:rPr>
                <w:bCs/>
              </w:rPr>
              <w:t>no inciso II do art. 44-A, na Resolução ANP nº 15, de 14 de março de 2014, ou nas normas</w:t>
            </w:r>
            <w:r>
              <w:rPr>
                <w:bCs/>
              </w:rPr>
              <w:t xml:space="preserve"> </w:t>
            </w:r>
            <w:r w:rsidRPr="00FE066D">
              <w:rPr>
                <w:bCs/>
              </w:rPr>
              <w:t>supervenientes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4EA0A" w14:textId="77777777" w:rsidR="000E06A3" w:rsidRDefault="000E06A3" w:rsidP="000E06A3">
            <w:pPr>
              <w:jc w:val="both"/>
              <w:rPr>
                <w:bCs/>
              </w:rPr>
            </w:pPr>
            <w:r>
              <w:rPr>
                <w:bCs/>
              </w:rPr>
              <w:t>Art. 2</w:t>
            </w:r>
          </w:p>
          <w:p w14:paraId="0FC362E5" w14:textId="77777777" w:rsidR="000E06A3" w:rsidRDefault="000E06A3" w:rsidP="000E06A3">
            <w:pPr>
              <w:jc w:val="both"/>
              <w:rPr>
                <w:bCs/>
              </w:rPr>
            </w:pPr>
            <w:r>
              <w:rPr>
                <w:bCs/>
              </w:rPr>
              <w:t xml:space="preserve">Art. 42A </w:t>
            </w:r>
          </w:p>
          <w:p w14:paraId="6075E767" w14:textId="4DD3367D" w:rsidR="00FE066D" w:rsidRDefault="000E06A3" w:rsidP="000E06A3">
            <w:pPr>
              <w:jc w:val="both"/>
              <w:rPr>
                <w:bCs/>
              </w:rPr>
            </w:pPr>
            <w:r w:rsidRPr="00FE066D">
              <w:rPr>
                <w:bCs/>
              </w:rPr>
              <w:t xml:space="preserve">§3º </w:t>
            </w:r>
            <w:r w:rsidR="00C413E0" w:rsidRPr="00FE066D">
              <w:rPr>
                <w:bCs/>
              </w:rPr>
              <w:t>A proposta tarifária</w:t>
            </w:r>
            <w:r w:rsidR="00E011E4">
              <w:rPr>
                <w:bCs/>
              </w:rPr>
              <w:t>,</w:t>
            </w:r>
            <w:r w:rsidR="00C413E0">
              <w:rPr>
                <w:bCs/>
              </w:rPr>
              <w:t xml:space="preserve"> </w:t>
            </w:r>
            <w:r w:rsidR="00C413E0" w:rsidRPr="00EC2C01">
              <w:rPr>
                <w:bCs/>
                <w:color w:val="FF0000"/>
              </w:rPr>
              <w:t>juntamente com os critérios do teste de viabilidade técnico-econômica</w:t>
            </w:r>
            <w:r w:rsidR="00E011E4">
              <w:rPr>
                <w:bCs/>
                <w:color w:val="FF0000"/>
              </w:rPr>
              <w:t>,</w:t>
            </w:r>
            <w:r w:rsidR="00C413E0" w:rsidRPr="00EC2C01">
              <w:rPr>
                <w:bCs/>
                <w:color w:val="FF0000"/>
              </w:rPr>
              <w:t xml:space="preserve"> </w:t>
            </w:r>
            <w:r w:rsidR="00C413E0" w:rsidRPr="00FE066D">
              <w:rPr>
                <w:bCs/>
              </w:rPr>
              <w:t>ser</w:t>
            </w:r>
            <w:r w:rsidR="00C413E0">
              <w:rPr>
                <w:bCs/>
              </w:rPr>
              <w:t>á</w:t>
            </w:r>
            <w:r w:rsidRPr="00FE066D">
              <w:rPr>
                <w:bCs/>
              </w:rPr>
              <w:t xml:space="preserve"> posta em consulta pública tarifária</w:t>
            </w:r>
            <w:r w:rsidRPr="00016DEA">
              <w:rPr>
                <w:bCs/>
                <w:color w:val="000000" w:themeColor="text1"/>
              </w:rPr>
              <w:t xml:space="preserve">, em conformidade com o disposto no inciso II do art. 44-A, </w:t>
            </w:r>
            <w:r w:rsidR="00016DEA" w:rsidRPr="00C413E0">
              <w:rPr>
                <w:bCs/>
                <w:color w:val="FF0000"/>
              </w:rPr>
              <w:t>com o d</w:t>
            </w:r>
            <w:r w:rsidR="00C413E0" w:rsidRPr="00C413E0">
              <w:rPr>
                <w:bCs/>
                <w:color w:val="FF0000"/>
              </w:rPr>
              <w:t xml:space="preserve">isposto </w:t>
            </w:r>
            <w:r w:rsidRPr="00016DEA">
              <w:rPr>
                <w:bCs/>
                <w:color w:val="000000" w:themeColor="text1"/>
              </w:rPr>
              <w:t>na Resolução ANP nº 15, de 14 de março de 2014, ou nas normas supervenientes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120158" w14:textId="77777777" w:rsidR="00FE066D" w:rsidRDefault="00994175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A alteração completa da RANP 11/2016 ensejaria </w:t>
            </w:r>
            <w:r w:rsidR="00702CAD">
              <w:rPr>
                <w:bCs/>
              </w:rPr>
              <w:t xml:space="preserve">a regulamentação </w:t>
            </w:r>
            <w:r w:rsidR="00BE443A">
              <w:rPr>
                <w:bCs/>
              </w:rPr>
              <w:t>da expansão e ampliação do sistema de transporte. Mesmo que não seja objeto d</w:t>
            </w:r>
            <w:r w:rsidR="0015208B">
              <w:rPr>
                <w:bCs/>
              </w:rPr>
              <w:t xml:space="preserve">as alterações aqui propostas, sugerimos ampliar a robustez </w:t>
            </w:r>
            <w:r w:rsidR="00844CF0">
              <w:rPr>
                <w:bCs/>
              </w:rPr>
              <w:t>dos processos de Chamadas Públicas para ampliação e expansão</w:t>
            </w:r>
            <w:r w:rsidR="00EE1EB7">
              <w:rPr>
                <w:bCs/>
              </w:rPr>
              <w:t xml:space="preserve"> dos gasodutos. Um requisito determinante é </w:t>
            </w:r>
            <w:r w:rsidR="002F4CCC">
              <w:rPr>
                <w:bCs/>
              </w:rPr>
              <w:t xml:space="preserve">a definição do teste econômico do projeto. Ou seja, quando aquele projeto é viável (e deve ser executado) e quando não o é. </w:t>
            </w:r>
            <w:r w:rsidR="00AD4D7C">
              <w:rPr>
                <w:bCs/>
              </w:rPr>
              <w:t>Os critérios para o teste econômico devem estar claros na proposta tarifária coloca em consulta pública.</w:t>
            </w:r>
          </w:p>
          <w:p w14:paraId="263B42A5" w14:textId="0E43B065" w:rsidR="00AD4D7C" w:rsidRPr="0051029A" w:rsidRDefault="00AD4D7C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Além disso, sugerimos a </w:t>
            </w:r>
            <w:r w:rsidR="00C413E0">
              <w:rPr>
                <w:bCs/>
              </w:rPr>
              <w:t>adequação</w:t>
            </w:r>
            <w:r>
              <w:rPr>
                <w:bCs/>
              </w:rPr>
              <w:t xml:space="preserve"> do </w:t>
            </w:r>
            <w:r w:rsidR="00AF5201">
              <w:rPr>
                <w:bCs/>
              </w:rPr>
              <w:t>texto “</w:t>
            </w:r>
            <w:r w:rsidR="00AF5201" w:rsidRPr="00AF5201">
              <w:rPr>
                <w:bCs/>
              </w:rPr>
              <w:t>em conformidade com o disposto no inciso II do art. 44-A, na Resolução ANP nº 15, de 14 de março de 2014, ou nas normas supervenientes</w:t>
            </w:r>
            <w:r w:rsidR="00AF5201">
              <w:rPr>
                <w:bCs/>
              </w:rPr>
              <w:t>”. A RANP 15/2014 não possui artigo 44.</w:t>
            </w:r>
          </w:p>
        </w:tc>
      </w:tr>
      <w:tr w:rsidR="0032761C" w:rsidRPr="0051029A" w14:paraId="65AE1E7A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6F4AD8" w14:textId="50366752" w:rsidR="00E75C06" w:rsidRDefault="00E75C06" w:rsidP="00E75C0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</w:t>
            </w:r>
            <w:r w:rsidR="00631898">
              <w:rPr>
                <w:bCs/>
              </w:rPr>
              <w:t>2</w:t>
            </w:r>
          </w:p>
          <w:p w14:paraId="084C2140" w14:textId="5FAC371D" w:rsidR="0032761C" w:rsidRPr="0051029A" w:rsidRDefault="00E75C06" w:rsidP="0042203B">
            <w:pPr>
              <w:jc w:val="both"/>
              <w:rPr>
                <w:bCs/>
              </w:rPr>
            </w:pPr>
            <w:r w:rsidRPr="00E75C06">
              <w:rPr>
                <w:bCs/>
              </w:rPr>
              <w:t>Art. 49-A. Até que venha a ser regulamentado o art. 11 da Lei 14.134 de 2021, o Processo de</w:t>
            </w:r>
            <w:r w:rsidR="0042203B">
              <w:rPr>
                <w:bCs/>
              </w:rPr>
              <w:t xml:space="preserve"> </w:t>
            </w:r>
            <w:r w:rsidRPr="00E75C06">
              <w:rPr>
                <w:bCs/>
              </w:rPr>
              <w:t>Chamada Pública que contemple a construção de gasoduto de transporte que, a critério da ANP,</w:t>
            </w:r>
            <w:r w:rsidR="00631898">
              <w:rPr>
                <w:bCs/>
              </w:rPr>
              <w:t xml:space="preserve"> </w:t>
            </w:r>
            <w:r w:rsidRPr="00E75C06">
              <w:rPr>
                <w:bCs/>
              </w:rPr>
              <w:t>esteja sujeito à período de contestação, será definido pela ANP, com base no disposto no parágrafo</w:t>
            </w:r>
            <w:r w:rsidR="00631898">
              <w:rPr>
                <w:bCs/>
              </w:rPr>
              <w:t xml:space="preserve"> </w:t>
            </w:r>
            <w:r w:rsidRPr="00E75C06">
              <w:rPr>
                <w:bCs/>
              </w:rPr>
              <w:t>único do art. 7º, e no § 1º do art. 26 do Decreto nº 10.712, de 2 de junho de 2021.”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A77131" w14:textId="77777777" w:rsidR="00631898" w:rsidRDefault="00631898" w:rsidP="00631898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2</w:t>
            </w:r>
          </w:p>
          <w:p w14:paraId="6BA457D5" w14:textId="386821C7" w:rsidR="0032761C" w:rsidRPr="0051029A" w:rsidRDefault="00631898" w:rsidP="002F483B">
            <w:pPr>
              <w:jc w:val="both"/>
              <w:rPr>
                <w:bCs/>
              </w:rPr>
            </w:pPr>
            <w:r w:rsidRPr="00E75C06">
              <w:rPr>
                <w:bCs/>
              </w:rPr>
              <w:t>Art. 49-A. Até que venha a ser regulamenta</w:t>
            </w:r>
            <w:r w:rsidR="00D873D2">
              <w:rPr>
                <w:bCs/>
              </w:rPr>
              <w:t>do</w:t>
            </w:r>
            <w:r w:rsidRPr="00E75C06">
              <w:rPr>
                <w:bCs/>
              </w:rPr>
              <w:t xml:space="preserve"> o art. 11 da Lei 14.134 de 2021, </w:t>
            </w:r>
            <w:r w:rsidR="009C2229" w:rsidRPr="00B454EB">
              <w:rPr>
                <w:bCs/>
                <w:color w:val="FF0000"/>
              </w:rPr>
              <w:t xml:space="preserve">a ANP definirá </w:t>
            </w:r>
            <w:r w:rsidR="0083633F" w:rsidRPr="00B454EB">
              <w:rPr>
                <w:bCs/>
                <w:color w:val="FF0000"/>
              </w:rPr>
              <w:t xml:space="preserve">os processos de Chamada Pública que estarão </w:t>
            </w:r>
            <w:r w:rsidR="00851AD7" w:rsidRPr="00B454EB">
              <w:rPr>
                <w:bCs/>
                <w:color w:val="FF0000"/>
              </w:rPr>
              <w:t xml:space="preserve">sujeitos à período de contestação, </w:t>
            </w:r>
            <w:r w:rsidRPr="002F483B">
              <w:rPr>
                <w:bCs/>
                <w:strike/>
                <w:color w:val="FF0000"/>
              </w:rPr>
              <w:t>o Processo de</w:t>
            </w:r>
            <w:r w:rsidR="0042203B" w:rsidRPr="002F483B">
              <w:rPr>
                <w:bCs/>
                <w:strike/>
                <w:color w:val="FF0000"/>
              </w:rPr>
              <w:t xml:space="preserve"> </w:t>
            </w:r>
            <w:r w:rsidRPr="002F483B">
              <w:rPr>
                <w:bCs/>
                <w:strike/>
                <w:color w:val="FF0000"/>
              </w:rPr>
              <w:t>Chamada Pública que contemple a construção de gasoduto de transporte que, a critério da ANP, esteja sujeito à período de contestação, será definido pela ANP,</w:t>
            </w:r>
            <w:r w:rsidRPr="002F483B">
              <w:rPr>
                <w:bCs/>
                <w:color w:val="FF0000"/>
              </w:rPr>
              <w:t xml:space="preserve"> </w:t>
            </w:r>
            <w:r w:rsidRPr="00E75C06">
              <w:rPr>
                <w:bCs/>
              </w:rPr>
              <w:t>com base no disposto no parágrafo</w:t>
            </w:r>
            <w:r>
              <w:rPr>
                <w:bCs/>
              </w:rPr>
              <w:t xml:space="preserve"> </w:t>
            </w:r>
            <w:r w:rsidRPr="00E75C06">
              <w:rPr>
                <w:bCs/>
              </w:rPr>
              <w:t>único do art. 7º, e no § 1º do art. 26 do Decreto nº 10.712, de 2 de junho de 2021.”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CA8071" w14:textId="30EDA8A6" w:rsidR="0032761C" w:rsidRPr="0051029A" w:rsidRDefault="00101490" w:rsidP="0032761C">
            <w:pPr>
              <w:jc w:val="both"/>
              <w:rPr>
                <w:bCs/>
              </w:rPr>
            </w:pPr>
            <w:r>
              <w:rPr>
                <w:bCs/>
              </w:rPr>
              <w:t>Sugestão para adequação do texto, de forma a deixar mais clara a leitura</w:t>
            </w:r>
            <w:r w:rsidR="00692896">
              <w:rPr>
                <w:bCs/>
              </w:rPr>
              <w:t>.</w:t>
            </w:r>
          </w:p>
        </w:tc>
      </w:tr>
      <w:tr w:rsidR="0032761C" w:rsidRPr="0051029A" w14:paraId="09D561FE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095333" w14:textId="77777777" w:rsidR="0032761C" w:rsidRDefault="001D52DF" w:rsidP="0032761C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513AB6DA" w14:textId="77777777" w:rsidR="001D52DF" w:rsidRDefault="003B0F55" w:rsidP="0032761C">
            <w:pPr>
              <w:jc w:val="both"/>
              <w:rPr>
                <w:bCs/>
              </w:rPr>
            </w:pPr>
            <w:r>
              <w:rPr>
                <w:bCs/>
              </w:rPr>
              <w:t>II</w:t>
            </w:r>
          </w:p>
          <w:p w14:paraId="647822BF" w14:textId="77777777" w:rsidR="00146EFE" w:rsidRDefault="00146EFE" w:rsidP="00146EFE">
            <w:pPr>
              <w:jc w:val="both"/>
              <w:rPr>
                <w:bCs/>
              </w:rPr>
            </w:pPr>
            <w:r>
              <w:rPr>
                <w:bCs/>
              </w:rPr>
              <w:t>b)</w:t>
            </w:r>
          </w:p>
          <w:p w14:paraId="63D42DB2" w14:textId="760283D7" w:rsidR="003B0F55" w:rsidRPr="0051029A" w:rsidRDefault="0096054E" w:rsidP="0032761C">
            <w:pPr>
              <w:jc w:val="both"/>
              <w:rPr>
                <w:bCs/>
              </w:rPr>
            </w:pPr>
            <w:r w:rsidRPr="0096054E">
              <w:rPr>
                <w:bCs/>
              </w:rPr>
              <w:t>7) XXXIX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F72767" w14:textId="77777777" w:rsidR="0096054E" w:rsidRDefault="0096054E" w:rsidP="0096054E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5CAF58D5" w14:textId="77777777" w:rsidR="0096054E" w:rsidRDefault="0096054E" w:rsidP="0096054E">
            <w:pPr>
              <w:jc w:val="both"/>
              <w:rPr>
                <w:bCs/>
              </w:rPr>
            </w:pPr>
            <w:r>
              <w:rPr>
                <w:bCs/>
              </w:rPr>
              <w:t>II</w:t>
            </w:r>
          </w:p>
          <w:p w14:paraId="0D3059D7" w14:textId="77777777" w:rsidR="00146EFE" w:rsidRDefault="00146EFE" w:rsidP="00146EFE">
            <w:pPr>
              <w:jc w:val="both"/>
              <w:rPr>
                <w:bCs/>
              </w:rPr>
            </w:pPr>
            <w:r>
              <w:rPr>
                <w:bCs/>
              </w:rPr>
              <w:t>b)</w:t>
            </w:r>
          </w:p>
          <w:p w14:paraId="5DE9FDC6" w14:textId="4DEFC8FB" w:rsidR="0032761C" w:rsidRPr="0096054E" w:rsidRDefault="0096054E" w:rsidP="0096054E">
            <w:pPr>
              <w:jc w:val="both"/>
              <w:rPr>
                <w:bCs/>
                <w:strike/>
              </w:rPr>
            </w:pPr>
            <w:r w:rsidRPr="0096054E">
              <w:rPr>
                <w:bCs/>
                <w:strike/>
                <w:color w:val="FF0000"/>
              </w:rPr>
              <w:t>7) XXXIX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B97549" w14:textId="655B8822" w:rsidR="0032761C" w:rsidRPr="0051029A" w:rsidRDefault="0096054E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Não </w:t>
            </w:r>
            <w:r w:rsidR="00CA50AA">
              <w:rPr>
                <w:bCs/>
              </w:rPr>
              <w:t>enxergamos</w:t>
            </w:r>
            <w:r w:rsidR="00E614C5">
              <w:rPr>
                <w:bCs/>
              </w:rPr>
              <w:t xml:space="preserve"> m</w:t>
            </w:r>
            <w:r>
              <w:rPr>
                <w:bCs/>
              </w:rPr>
              <w:t xml:space="preserve">otivo para excluir da resolução a definição de serviço </w:t>
            </w:r>
            <w:proofErr w:type="spellStart"/>
            <w:r>
              <w:rPr>
                <w:bCs/>
              </w:rPr>
              <w:t>interruptível</w:t>
            </w:r>
            <w:proofErr w:type="spellEnd"/>
            <w:r>
              <w:rPr>
                <w:bCs/>
              </w:rPr>
              <w:t>, previsto na lei 14.134/2021</w:t>
            </w:r>
            <w:r w:rsidR="00E614C5">
              <w:rPr>
                <w:bCs/>
              </w:rPr>
              <w:t>.</w:t>
            </w:r>
          </w:p>
        </w:tc>
      </w:tr>
      <w:tr w:rsidR="0032761C" w:rsidRPr="0051029A" w14:paraId="7228E3D1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381280" w14:textId="77777777" w:rsidR="0096054E" w:rsidRDefault="0096054E" w:rsidP="0096054E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3B2A7D0F" w14:textId="77777777" w:rsidR="0096054E" w:rsidRDefault="0096054E" w:rsidP="0096054E">
            <w:pPr>
              <w:jc w:val="both"/>
              <w:rPr>
                <w:bCs/>
              </w:rPr>
            </w:pPr>
            <w:r>
              <w:rPr>
                <w:bCs/>
              </w:rPr>
              <w:t>II</w:t>
            </w:r>
          </w:p>
          <w:p w14:paraId="36875ABB" w14:textId="77777777" w:rsidR="00146EFE" w:rsidRDefault="00146EFE" w:rsidP="00146EFE">
            <w:pPr>
              <w:jc w:val="both"/>
              <w:rPr>
                <w:bCs/>
              </w:rPr>
            </w:pPr>
            <w:r>
              <w:rPr>
                <w:bCs/>
              </w:rPr>
              <w:t>b)</w:t>
            </w:r>
          </w:p>
          <w:p w14:paraId="4C2878F1" w14:textId="4D14B399" w:rsidR="0032761C" w:rsidRPr="0051029A" w:rsidRDefault="00E36311" w:rsidP="0032761C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894DC3" w14:textId="77777777" w:rsidR="00E36311" w:rsidRPr="0008334F" w:rsidRDefault="00E36311" w:rsidP="00E36311">
            <w:pPr>
              <w:jc w:val="both"/>
              <w:rPr>
                <w:bCs/>
                <w:lang w:val="en-GB"/>
              </w:rPr>
            </w:pPr>
            <w:r w:rsidRPr="0008334F">
              <w:rPr>
                <w:bCs/>
                <w:lang w:val="en-GB"/>
              </w:rPr>
              <w:t>Art 3</w:t>
            </w:r>
          </w:p>
          <w:p w14:paraId="6878E89C" w14:textId="77777777" w:rsidR="00E36311" w:rsidRPr="0008334F" w:rsidRDefault="00E36311" w:rsidP="00E36311">
            <w:pPr>
              <w:jc w:val="both"/>
              <w:rPr>
                <w:bCs/>
                <w:lang w:val="en-GB"/>
              </w:rPr>
            </w:pPr>
            <w:r w:rsidRPr="0008334F">
              <w:rPr>
                <w:bCs/>
                <w:lang w:val="en-GB"/>
              </w:rPr>
              <w:t>II</w:t>
            </w:r>
          </w:p>
          <w:p w14:paraId="61EB2854" w14:textId="77777777" w:rsidR="00146EFE" w:rsidRPr="0008334F" w:rsidRDefault="00146EFE" w:rsidP="00146EFE">
            <w:pPr>
              <w:jc w:val="both"/>
              <w:rPr>
                <w:bCs/>
                <w:lang w:val="en-GB"/>
              </w:rPr>
            </w:pPr>
            <w:r w:rsidRPr="0008334F">
              <w:rPr>
                <w:bCs/>
                <w:lang w:val="en-GB"/>
              </w:rPr>
              <w:t>b)</w:t>
            </w:r>
          </w:p>
          <w:p w14:paraId="47B480B4" w14:textId="6532EC44" w:rsidR="0032761C" w:rsidRPr="0008334F" w:rsidRDefault="00E36311" w:rsidP="0032761C">
            <w:pPr>
              <w:jc w:val="both"/>
              <w:rPr>
                <w:bCs/>
                <w:lang w:val="en-GB"/>
              </w:rPr>
            </w:pPr>
            <w:r w:rsidRPr="0008334F">
              <w:rPr>
                <w:color w:val="FF0000"/>
                <w:lang w:val="en-GB"/>
              </w:rPr>
              <w:t>7</w:t>
            </w:r>
            <w:proofErr w:type="gramStart"/>
            <w:r w:rsidRPr="0008334F">
              <w:rPr>
                <w:color w:val="FF0000"/>
                <w:lang w:val="en-GB"/>
              </w:rPr>
              <w:t>A)XXXVII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BA5A58" w14:textId="075E38D6" w:rsidR="0032761C" w:rsidRPr="0051029A" w:rsidRDefault="00E36311" w:rsidP="0032761C">
            <w:pPr>
              <w:jc w:val="both"/>
              <w:rPr>
                <w:bCs/>
              </w:rPr>
            </w:pPr>
            <w:r>
              <w:rPr>
                <w:bCs/>
              </w:rPr>
              <w:t xml:space="preserve">Exclusão do conceito de serviço extraordinário. Não previsto na lei 14.134/2021 e que não encontra </w:t>
            </w:r>
            <w:r w:rsidR="00563864">
              <w:rPr>
                <w:bCs/>
              </w:rPr>
              <w:t xml:space="preserve">utilização no modelo </w:t>
            </w:r>
            <w:r w:rsidR="0071550B">
              <w:rPr>
                <w:bCs/>
              </w:rPr>
              <w:t>atual, sendo igual a um serviço firme de curto prazo.</w:t>
            </w:r>
          </w:p>
        </w:tc>
      </w:tr>
      <w:tr w:rsidR="00624AE2" w:rsidRPr="0051029A" w14:paraId="7D363EAB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2E05E5" w14:textId="77777777" w:rsidR="00624AE2" w:rsidRDefault="00624AE2" w:rsidP="00624AE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4B51BAD0" w14:textId="03DD2B79" w:rsidR="00146EFE" w:rsidRDefault="00624AE2" w:rsidP="00624AE2">
            <w:pPr>
              <w:jc w:val="both"/>
              <w:rPr>
                <w:bCs/>
              </w:rPr>
            </w:pPr>
            <w:r>
              <w:rPr>
                <w:bCs/>
              </w:rPr>
              <w:t>II</w:t>
            </w:r>
          </w:p>
          <w:p w14:paraId="46B14265" w14:textId="37E4E470" w:rsidR="00624AE2" w:rsidRDefault="00624AE2" w:rsidP="00624AE2">
            <w:pPr>
              <w:jc w:val="both"/>
              <w:rPr>
                <w:bCs/>
              </w:rPr>
            </w:pPr>
            <w:r>
              <w:rPr>
                <w:bCs/>
              </w:rPr>
              <w:t>Inclusão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1C78FF" w14:textId="77777777" w:rsidR="00624AE2" w:rsidRDefault="00624AE2" w:rsidP="00624AE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Art</w:t>
            </w:r>
            <w:proofErr w:type="spellEnd"/>
            <w:r>
              <w:rPr>
                <w:bCs/>
              </w:rPr>
              <w:t xml:space="preserve"> 3</w:t>
            </w:r>
          </w:p>
          <w:p w14:paraId="565AC672" w14:textId="77777777" w:rsidR="00624AE2" w:rsidRDefault="00624AE2" w:rsidP="00624AE2">
            <w:pPr>
              <w:jc w:val="both"/>
              <w:rPr>
                <w:bCs/>
              </w:rPr>
            </w:pPr>
            <w:r>
              <w:rPr>
                <w:bCs/>
              </w:rPr>
              <w:t>II</w:t>
            </w:r>
          </w:p>
          <w:p w14:paraId="194CF735" w14:textId="0969C342" w:rsidR="00624AE2" w:rsidRDefault="00DF7CE4" w:rsidP="00624AE2">
            <w:pPr>
              <w:jc w:val="both"/>
              <w:rPr>
                <w:bCs/>
              </w:rPr>
            </w:pPr>
            <w:r w:rsidRPr="004B78BA">
              <w:rPr>
                <w:bCs/>
                <w:color w:val="FF0000"/>
              </w:rPr>
              <w:t xml:space="preserve">h’) </w:t>
            </w:r>
            <w:r w:rsidR="004B78BA" w:rsidRPr="004B78BA">
              <w:rPr>
                <w:bCs/>
                <w:color w:val="FF0000"/>
              </w:rPr>
              <w:t>45 a 47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46FEA" w14:textId="704A70FD" w:rsidR="00624AE2" w:rsidRDefault="005B3DA9" w:rsidP="00624AE2">
            <w:pPr>
              <w:jc w:val="both"/>
              <w:rPr>
                <w:bCs/>
              </w:rPr>
            </w:pPr>
            <w:r>
              <w:rPr>
                <w:bCs/>
              </w:rPr>
              <w:t>Exclusão dos artigos que se referem a troca operacional – swap – que não são aplicáveis ao modelo entradas e saídas.</w:t>
            </w:r>
          </w:p>
        </w:tc>
      </w:tr>
      <w:tr w:rsidR="00624AE2" w:rsidRPr="0051029A" w14:paraId="634EC6CE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F1E15" w14:textId="77777777" w:rsidR="00624AE2" w:rsidRDefault="00624AE2" w:rsidP="00624AE2">
            <w:pPr>
              <w:jc w:val="both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01DE20" w14:textId="77777777" w:rsidR="00624AE2" w:rsidRDefault="00624AE2" w:rsidP="00624AE2">
            <w:pPr>
              <w:jc w:val="both"/>
              <w:rPr>
                <w:bCs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B34AF0" w14:textId="77777777" w:rsidR="00624AE2" w:rsidRDefault="00624AE2" w:rsidP="00624AE2">
            <w:pPr>
              <w:jc w:val="both"/>
              <w:rPr>
                <w:bCs/>
              </w:rPr>
            </w:pPr>
          </w:p>
        </w:tc>
      </w:tr>
      <w:tr w:rsidR="00624AE2" w:rsidRPr="0051029A" w14:paraId="4326B208" w14:textId="77777777" w:rsidTr="004F4E82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2DC325" w14:textId="77777777" w:rsidR="00624AE2" w:rsidRDefault="00624AE2" w:rsidP="00624AE2">
            <w:pPr>
              <w:jc w:val="both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A45B60" w14:textId="77777777" w:rsidR="00624AE2" w:rsidRDefault="00624AE2" w:rsidP="00624AE2">
            <w:pPr>
              <w:jc w:val="both"/>
              <w:rPr>
                <w:bCs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525228" w14:textId="77777777" w:rsidR="00624AE2" w:rsidRDefault="00624AE2" w:rsidP="00624AE2">
            <w:pPr>
              <w:jc w:val="both"/>
              <w:rPr>
                <w:bCs/>
              </w:rPr>
            </w:pPr>
          </w:p>
        </w:tc>
      </w:tr>
    </w:tbl>
    <w:p w14:paraId="0CF9E221" w14:textId="77777777" w:rsidR="00E32489" w:rsidRPr="0051029A" w:rsidRDefault="00E32489" w:rsidP="00E32489">
      <w:pPr>
        <w:jc w:val="center"/>
        <w:rPr>
          <w:rFonts w:eastAsia="Arial Unicode MS"/>
          <w:sz w:val="24"/>
          <w:szCs w:val="24"/>
        </w:rPr>
      </w:pPr>
    </w:p>
    <w:p w14:paraId="6964B293" w14:textId="77777777" w:rsidR="00E32489" w:rsidRPr="009D3BB3" w:rsidRDefault="00E32489" w:rsidP="00E32489">
      <w:pPr>
        <w:spacing w:after="120"/>
        <w:rPr>
          <w:sz w:val="24"/>
          <w:szCs w:val="24"/>
        </w:rPr>
      </w:pPr>
      <w:r w:rsidRPr="009D3BB3">
        <w:rPr>
          <w:sz w:val="24"/>
          <w:szCs w:val="24"/>
        </w:rPr>
        <w:t xml:space="preserve">Campo destinado a comentários gerais relacionados </w:t>
      </w:r>
      <w:r>
        <w:rPr>
          <w:sz w:val="24"/>
          <w:szCs w:val="24"/>
        </w:rPr>
        <w:t>assunto</w:t>
      </w:r>
      <w:r w:rsidRPr="009D3BB3">
        <w:rPr>
          <w:sz w:val="24"/>
          <w:szCs w:val="24"/>
        </w:rPr>
        <w:t xml:space="preserve">: </w:t>
      </w:r>
    </w:p>
    <w:tbl>
      <w:tblPr>
        <w:tblW w:w="14034" w:type="dxa"/>
        <w:tblInd w:w="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4"/>
      </w:tblGrid>
      <w:tr w:rsidR="00E32489" w:rsidRPr="0015156E" w14:paraId="656240FC" w14:textId="77777777" w:rsidTr="00B91359">
        <w:trPr>
          <w:trHeight w:val="670"/>
        </w:trPr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23A025" w14:textId="3B1B016B" w:rsidR="002B3162" w:rsidRDefault="002B3162" w:rsidP="00B91359">
            <w:pPr>
              <w:jc w:val="both"/>
              <w:rPr>
                <w:bCs/>
              </w:rPr>
            </w:pPr>
            <w:r>
              <w:rPr>
                <w:bCs/>
              </w:rPr>
              <w:t>Itens gerais de contribuição</w:t>
            </w:r>
            <w:r w:rsidR="000101A7">
              <w:rPr>
                <w:bCs/>
              </w:rPr>
              <w:t>:</w:t>
            </w:r>
          </w:p>
          <w:p w14:paraId="16122C88" w14:textId="5335AEE2" w:rsidR="000101A7" w:rsidRDefault="00C01C05" w:rsidP="000101A7">
            <w:pPr>
              <w:jc w:val="both"/>
              <w:rPr>
                <w:bCs/>
              </w:rPr>
            </w:pPr>
            <w:r>
              <w:rPr>
                <w:bCs/>
              </w:rPr>
              <w:t xml:space="preserve">Inicialmente, cabe-nos </w:t>
            </w:r>
            <w:r w:rsidR="00E26027">
              <w:rPr>
                <w:bCs/>
              </w:rPr>
              <w:t xml:space="preserve">salientar que as contribuições as alterações das </w:t>
            </w:r>
            <w:proofErr w:type="spellStart"/>
            <w:r w:rsidR="00E26027">
              <w:rPr>
                <w:bCs/>
              </w:rPr>
              <w:t>RANPs</w:t>
            </w:r>
            <w:proofErr w:type="spellEnd"/>
            <w:r w:rsidR="00E26027">
              <w:rPr>
                <w:bCs/>
              </w:rPr>
              <w:t xml:space="preserve"> </w:t>
            </w:r>
            <w:proofErr w:type="spellStart"/>
            <w:r w:rsidR="00E26027" w:rsidRPr="000101A7">
              <w:rPr>
                <w:bCs/>
              </w:rPr>
              <w:t>nºs</w:t>
            </w:r>
            <w:proofErr w:type="spellEnd"/>
            <w:r w:rsidR="00E26027" w:rsidRPr="000101A7">
              <w:rPr>
                <w:bCs/>
              </w:rPr>
              <w:t xml:space="preserve"> 51</w:t>
            </w:r>
            <w:r w:rsidR="00E26027">
              <w:rPr>
                <w:bCs/>
              </w:rPr>
              <w:t xml:space="preserve">/2013 </w:t>
            </w:r>
            <w:r w:rsidR="00E26027" w:rsidRPr="000101A7">
              <w:rPr>
                <w:bCs/>
              </w:rPr>
              <w:t>e 11</w:t>
            </w:r>
            <w:r w:rsidR="00E26027">
              <w:rPr>
                <w:bCs/>
              </w:rPr>
              <w:t>/</w:t>
            </w:r>
            <w:r w:rsidR="00E26027" w:rsidRPr="000101A7">
              <w:rPr>
                <w:bCs/>
              </w:rPr>
              <w:t>2016</w:t>
            </w:r>
            <w:r w:rsidR="00E26027">
              <w:rPr>
                <w:bCs/>
              </w:rPr>
              <w:t xml:space="preserve"> </w:t>
            </w:r>
            <w:r w:rsidR="00120794">
              <w:rPr>
                <w:bCs/>
              </w:rPr>
              <w:t xml:space="preserve">miram apenas no objeto determinado pela ANP: simplificação do processo de oferta de capacidade. </w:t>
            </w:r>
            <w:r w:rsidR="00B00AC3">
              <w:rPr>
                <w:bCs/>
              </w:rPr>
              <w:t>À luz do novo marco regulatório do gás</w:t>
            </w:r>
            <w:r w:rsidR="00BA343A">
              <w:rPr>
                <w:bCs/>
              </w:rPr>
              <w:t xml:space="preserve">, alterações mais profundas são necessárias em ambas as resoluções. Desta forma, </w:t>
            </w:r>
            <w:r w:rsidR="00900350">
              <w:rPr>
                <w:bCs/>
              </w:rPr>
              <w:t xml:space="preserve">resumimos abaixo </w:t>
            </w:r>
            <w:r w:rsidR="0092765E">
              <w:rPr>
                <w:bCs/>
              </w:rPr>
              <w:t xml:space="preserve">principais </w:t>
            </w:r>
            <w:r w:rsidR="000101A7">
              <w:rPr>
                <w:bCs/>
              </w:rPr>
              <w:t>contribuições às minutas de resolução:</w:t>
            </w:r>
          </w:p>
          <w:p w14:paraId="0CC3971E" w14:textId="41A639D3" w:rsidR="002B3162" w:rsidRDefault="002B3162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0B43F8">
              <w:rPr>
                <w:bCs/>
                <w:u w:val="single"/>
              </w:rPr>
              <w:lastRenderedPageBreak/>
              <w:t>Garantir acesso isonômico à oferta de capacidade</w:t>
            </w:r>
            <w:r>
              <w:rPr>
                <w:bCs/>
              </w:rPr>
              <w:t xml:space="preserve">. </w:t>
            </w:r>
            <w:r w:rsidR="000101A7">
              <w:rPr>
                <w:bCs/>
              </w:rPr>
              <w:t xml:space="preserve">Os regulamentos atuais preveem explicitamente a metodologia para que as capacidades ofertadas sejam adquiridas de forma isonômica entre os carregadores. Entendemos salutar </w:t>
            </w:r>
            <w:r>
              <w:rPr>
                <w:bCs/>
              </w:rPr>
              <w:t>explicit</w:t>
            </w:r>
            <w:r w:rsidR="000101A7">
              <w:rPr>
                <w:bCs/>
              </w:rPr>
              <w:t>ar</w:t>
            </w:r>
            <w:r>
              <w:rPr>
                <w:bCs/>
              </w:rPr>
              <w:t xml:space="preserve"> </w:t>
            </w:r>
            <w:r w:rsidR="000101A7">
              <w:rPr>
                <w:bCs/>
              </w:rPr>
              <w:t xml:space="preserve">tal premissa no conceito e </w:t>
            </w:r>
            <w:r>
              <w:rPr>
                <w:bCs/>
              </w:rPr>
              <w:t>nas diretrizes dos Processos de Oferta de Capacidade. Importante para situações em que há restrição de oferta</w:t>
            </w:r>
            <w:r w:rsidR="000101A7">
              <w:rPr>
                <w:bCs/>
              </w:rPr>
              <w:t>.</w:t>
            </w:r>
          </w:p>
          <w:p w14:paraId="46890E0C" w14:textId="781D4D58" w:rsidR="002B3162" w:rsidRDefault="002B3162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0B43F8">
              <w:rPr>
                <w:bCs/>
                <w:u w:val="single"/>
              </w:rPr>
              <w:t xml:space="preserve">Previsão de consulta pública específica para </w:t>
            </w:r>
            <w:r w:rsidR="003159C7" w:rsidRPr="000B43F8">
              <w:rPr>
                <w:bCs/>
                <w:u w:val="single"/>
              </w:rPr>
              <w:t>as melhorias nos</w:t>
            </w:r>
            <w:r w:rsidRPr="000B43F8">
              <w:rPr>
                <w:bCs/>
                <w:u w:val="single"/>
              </w:rPr>
              <w:t xml:space="preserve"> contratos de transporte</w:t>
            </w:r>
            <w:r w:rsidR="000B43F8" w:rsidRPr="000B43F8">
              <w:rPr>
                <w:bCs/>
                <w:u w:val="single"/>
              </w:rPr>
              <w:t xml:space="preserve"> e regulamento</w:t>
            </w:r>
            <w:r w:rsidR="000B43F8">
              <w:rPr>
                <w:bCs/>
              </w:rPr>
              <w:t xml:space="preserve">. Hoje os processos de chamada pública incluem consulta pública para aprimoramentos nos contratos de transporte e nos regulamentos. Ao simplificar o processo, a ANP elimina esta etapa. É necessário, contudo, prever consulta públicas periódicas para participação efetiva da sociedade na elaboração destes documentos. </w:t>
            </w:r>
          </w:p>
          <w:p w14:paraId="12ECCC63" w14:textId="7C9FED2C" w:rsidR="002B3162" w:rsidRDefault="00B32C8D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ED4D36">
              <w:rPr>
                <w:bCs/>
                <w:u w:val="single"/>
              </w:rPr>
              <w:t>Metodologia para T</w:t>
            </w:r>
            <w:r w:rsidR="002B3162" w:rsidRPr="00ED4D36">
              <w:rPr>
                <w:bCs/>
                <w:u w:val="single"/>
              </w:rPr>
              <w:t xml:space="preserve">arifas </w:t>
            </w:r>
            <w:r w:rsidRPr="00ED4D36">
              <w:rPr>
                <w:bCs/>
                <w:u w:val="single"/>
              </w:rPr>
              <w:t>de refer</w:t>
            </w:r>
            <w:r w:rsidR="00ED4D36" w:rsidRPr="00ED4D36">
              <w:rPr>
                <w:bCs/>
                <w:u w:val="single"/>
              </w:rPr>
              <w:t>ência</w:t>
            </w:r>
            <w:r w:rsidR="00ED4D36">
              <w:rPr>
                <w:bCs/>
              </w:rPr>
              <w:t xml:space="preserve">. O regulamento do Processo de Oferta de Capacidade deve expor, de forma </w:t>
            </w:r>
            <w:r w:rsidR="00CF487E">
              <w:rPr>
                <w:bCs/>
              </w:rPr>
              <w:t xml:space="preserve">clara, o cálculo da tarifa de referência tendo como base a </w:t>
            </w:r>
            <w:r w:rsidR="002B3162">
              <w:rPr>
                <w:bCs/>
              </w:rPr>
              <w:t>RMP aprovada pela AN</w:t>
            </w:r>
            <w:r w:rsidR="00CF487E">
              <w:rPr>
                <w:bCs/>
              </w:rPr>
              <w:t>P e a i</w:t>
            </w:r>
            <w:r w:rsidR="007760C9">
              <w:rPr>
                <w:bCs/>
              </w:rPr>
              <w:t>ncorporação do saldo da conta regulatória</w:t>
            </w:r>
            <w:r w:rsidR="00CF487E">
              <w:rPr>
                <w:bCs/>
              </w:rPr>
              <w:t xml:space="preserve">. </w:t>
            </w:r>
            <w:r w:rsidR="0074351D">
              <w:rPr>
                <w:bCs/>
              </w:rPr>
              <w:t xml:space="preserve">Atualmente temos dificuldade de reproduzir o </w:t>
            </w:r>
            <w:r w:rsidR="00CC23F6">
              <w:rPr>
                <w:bCs/>
              </w:rPr>
              <w:t xml:space="preserve">cálculo da tarifa de referência dos transportadores. Não há </w:t>
            </w:r>
            <w:r w:rsidR="00CE7C5A">
              <w:rPr>
                <w:bCs/>
              </w:rPr>
              <w:t>clareza sobre o RMP calculada x auferida.</w:t>
            </w:r>
          </w:p>
          <w:p w14:paraId="6D1C504C" w14:textId="4CC77485" w:rsidR="002B3162" w:rsidRDefault="002B3162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5C6AC1">
              <w:rPr>
                <w:bCs/>
                <w:u w:val="single"/>
              </w:rPr>
              <w:t>Projeto de referência com erro de 30%</w:t>
            </w:r>
            <w:r>
              <w:rPr>
                <w:bCs/>
              </w:rPr>
              <w:t xml:space="preserve">. </w:t>
            </w:r>
            <w:r w:rsidR="005C6AC1">
              <w:rPr>
                <w:bCs/>
              </w:rPr>
              <w:t xml:space="preserve"> A nota técnica</w:t>
            </w:r>
            <w:r w:rsidR="008B28C4">
              <w:rPr>
                <w:bCs/>
              </w:rPr>
              <w:t xml:space="preserve"> </w:t>
            </w:r>
            <w:r w:rsidR="008B28C4" w:rsidRPr="008B28C4">
              <w:rPr>
                <w:bCs/>
              </w:rPr>
              <w:t>Nº 2/2023/SIM</w:t>
            </w:r>
            <w:r w:rsidR="005C6AC1">
              <w:rPr>
                <w:bCs/>
              </w:rPr>
              <w:t xml:space="preserve"> </w:t>
            </w:r>
            <w:proofErr w:type="spellStart"/>
            <w:r w:rsidR="005C6AC1">
              <w:rPr>
                <w:bCs/>
              </w:rPr>
              <w:t>tr</w:t>
            </w:r>
            <w:r w:rsidR="008B28C4">
              <w:rPr>
                <w:bCs/>
              </w:rPr>
              <w:t>ás</w:t>
            </w:r>
            <w:proofErr w:type="spellEnd"/>
            <w:r w:rsidR="008B28C4">
              <w:rPr>
                <w:bCs/>
              </w:rPr>
              <w:t xml:space="preserve"> em sua redação que os projetos de referência para ampliação e expansão de gasodutos poderiam ter erro de 30% no dimensionamento do custo. </w:t>
            </w:r>
            <w:r w:rsidR="00000540">
              <w:rPr>
                <w:bCs/>
              </w:rPr>
              <w:t xml:space="preserve">Sugerimos a exclusão </w:t>
            </w:r>
            <w:r w:rsidR="009D5E1F">
              <w:rPr>
                <w:bCs/>
              </w:rPr>
              <w:t xml:space="preserve">desta flexibilidade. O transportador, ao dimensionar um projeto, deve garantir </w:t>
            </w:r>
            <w:r w:rsidR="00452F8E">
              <w:rPr>
                <w:bCs/>
              </w:rPr>
              <w:t>os custos orçados. O erro pode mudar o resultado do teste econômico daquela expansão. Além disso, a ANP, ao avaliar o orçamento do projeto</w:t>
            </w:r>
            <w:r w:rsidR="005C6AC1">
              <w:rPr>
                <w:bCs/>
              </w:rPr>
              <w:t xml:space="preserve"> </w:t>
            </w:r>
            <w:r w:rsidR="00452F8E">
              <w:rPr>
                <w:bCs/>
              </w:rPr>
              <w:t>d</w:t>
            </w:r>
            <w:r>
              <w:rPr>
                <w:bCs/>
              </w:rPr>
              <w:t xml:space="preserve">eve </w:t>
            </w:r>
            <w:r w:rsidR="00452F8E">
              <w:rPr>
                <w:bCs/>
              </w:rPr>
              <w:t xml:space="preserve">utilizar </w:t>
            </w:r>
            <w:r>
              <w:rPr>
                <w:bCs/>
              </w:rPr>
              <w:t>benchmarks para verificação da eficiência da proposta</w:t>
            </w:r>
            <w:r w:rsidR="00870A88">
              <w:rPr>
                <w:bCs/>
              </w:rPr>
              <w:t>.</w:t>
            </w:r>
          </w:p>
          <w:p w14:paraId="72416C64" w14:textId="7B39B2D5" w:rsidR="002B3162" w:rsidRDefault="00BA23E1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BA23E1">
              <w:rPr>
                <w:bCs/>
                <w:u w:val="single"/>
              </w:rPr>
              <w:t>P</w:t>
            </w:r>
            <w:r w:rsidR="002B3162" w:rsidRPr="00BA23E1">
              <w:rPr>
                <w:bCs/>
                <w:u w:val="single"/>
              </w:rPr>
              <w:t xml:space="preserve">adronização dos </w:t>
            </w:r>
            <w:proofErr w:type="spellStart"/>
            <w:r w:rsidR="002B3162" w:rsidRPr="00BA23E1">
              <w:rPr>
                <w:bCs/>
                <w:u w:val="single"/>
              </w:rPr>
              <w:t>GTAs</w:t>
            </w:r>
            <w:proofErr w:type="spellEnd"/>
            <w:r>
              <w:rPr>
                <w:bCs/>
              </w:rPr>
              <w:t>.</w:t>
            </w:r>
            <w:r w:rsidR="00E974B3">
              <w:rPr>
                <w:bCs/>
              </w:rPr>
              <w:t xml:space="preserve"> </w:t>
            </w:r>
            <w:r w:rsidR="0018555A">
              <w:rPr>
                <w:bCs/>
              </w:rPr>
              <w:t xml:space="preserve">Sugerimos definir em resolução a necessidade de padronização dos contratos de transporte, em linha com Art. XX da Resolução 03/2022 do CNPE. </w:t>
            </w:r>
            <w:r w:rsidR="000304DE">
              <w:rPr>
                <w:bCs/>
              </w:rPr>
              <w:t xml:space="preserve">Na mesma linha, entendemos não ser necessário diferenciar o contrato Master </w:t>
            </w:r>
            <w:proofErr w:type="spellStart"/>
            <w:r w:rsidR="00DA5697">
              <w:rPr>
                <w:bCs/>
              </w:rPr>
              <w:t>Agreement</w:t>
            </w:r>
            <w:proofErr w:type="spellEnd"/>
            <w:r w:rsidR="00DA5697">
              <w:rPr>
                <w:bCs/>
              </w:rPr>
              <w:t xml:space="preserve"> </w:t>
            </w:r>
            <w:r w:rsidR="000304DE">
              <w:rPr>
                <w:bCs/>
              </w:rPr>
              <w:t xml:space="preserve">(hoje utilizado para contratos </w:t>
            </w:r>
            <w:r w:rsidR="007975EE">
              <w:rPr>
                <w:bCs/>
              </w:rPr>
              <w:t xml:space="preserve">firmes de </w:t>
            </w:r>
            <w:r w:rsidR="000304DE">
              <w:rPr>
                <w:bCs/>
              </w:rPr>
              <w:t xml:space="preserve">curto prazo – extraordinários) </w:t>
            </w:r>
            <w:r w:rsidR="000F52FA">
              <w:rPr>
                <w:bCs/>
              </w:rPr>
              <w:t xml:space="preserve">dos contratos Firme de longo prazo (igual ou maior que 1 ano). </w:t>
            </w:r>
            <w:r w:rsidR="00294F21">
              <w:rPr>
                <w:bCs/>
              </w:rPr>
              <w:t xml:space="preserve">O objetivo é termos apenas um contrato </w:t>
            </w:r>
            <w:r w:rsidR="007975EE">
              <w:rPr>
                <w:bCs/>
              </w:rPr>
              <w:t xml:space="preserve">firme </w:t>
            </w:r>
            <w:r w:rsidR="00294F21">
              <w:rPr>
                <w:bCs/>
              </w:rPr>
              <w:t>de transporte (igual para to</w:t>
            </w:r>
            <w:r w:rsidR="007975EE">
              <w:rPr>
                <w:bCs/>
              </w:rPr>
              <w:t>dos os transportadores</w:t>
            </w:r>
            <w:r w:rsidR="00BF6D9A">
              <w:rPr>
                <w:bCs/>
              </w:rPr>
              <w:t xml:space="preserve">). As diferenças temporais entre os produtos (1 dia ou 1 ano) podem ser </w:t>
            </w:r>
            <w:r w:rsidR="00DA5697">
              <w:rPr>
                <w:bCs/>
              </w:rPr>
              <w:t xml:space="preserve">definidas em um anexo. </w:t>
            </w:r>
            <w:r w:rsidR="001A321F">
              <w:rPr>
                <w:bCs/>
              </w:rPr>
              <w:t xml:space="preserve">Isso simplificará o processo de contratação de transporte, reduzirá o custo de transação dos carregadores e incentivará a contratação </w:t>
            </w:r>
            <w:r w:rsidR="005403F4">
              <w:rPr>
                <w:bCs/>
              </w:rPr>
              <w:t>da capacidade de saída pelos consumidores livres.</w:t>
            </w:r>
          </w:p>
          <w:p w14:paraId="52E83109" w14:textId="3E1D3F27" w:rsidR="003159C7" w:rsidRDefault="00BA23E1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BA23E1">
              <w:rPr>
                <w:bCs/>
                <w:u w:val="single"/>
              </w:rPr>
              <w:t>Exclusão do produto extraordinário</w:t>
            </w:r>
            <w:r>
              <w:rPr>
                <w:bCs/>
              </w:rPr>
              <w:t xml:space="preserve">. </w:t>
            </w:r>
            <w:r w:rsidR="00BD23AA">
              <w:rPr>
                <w:bCs/>
              </w:rPr>
              <w:t xml:space="preserve">O produto extraordinário não é previsto na </w:t>
            </w:r>
            <w:r w:rsidR="00FC20CB">
              <w:rPr>
                <w:bCs/>
              </w:rPr>
              <w:t xml:space="preserve">nova Lei do Gás. Entendemos desnecessário sua previsão em regulação. Dessa forma, os </w:t>
            </w:r>
            <w:r w:rsidR="00CA1007">
              <w:rPr>
                <w:bCs/>
              </w:rPr>
              <w:t xml:space="preserve">produtos atualmente comercializados </w:t>
            </w:r>
            <w:r w:rsidR="00B34DD3">
              <w:rPr>
                <w:bCs/>
              </w:rPr>
              <w:t>como extraordinários</w:t>
            </w:r>
            <w:r w:rsidR="00CA1007">
              <w:rPr>
                <w:bCs/>
              </w:rPr>
              <w:t xml:space="preserve"> seriam convertidos em produtos Firme de Curto Prazo. </w:t>
            </w:r>
          </w:p>
          <w:p w14:paraId="30AE1816" w14:textId="3FF2495F" w:rsidR="003159C7" w:rsidRDefault="0075585D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75585D">
              <w:rPr>
                <w:bCs/>
                <w:u w:val="single"/>
              </w:rPr>
              <w:t>Congestionamento contratual</w:t>
            </w:r>
            <w:r>
              <w:rPr>
                <w:bCs/>
              </w:rPr>
              <w:t xml:space="preserve">. </w:t>
            </w:r>
            <w:r w:rsidR="00A82F86">
              <w:rPr>
                <w:bCs/>
              </w:rPr>
              <w:t>Sugerimos</w:t>
            </w:r>
            <w:r w:rsidR="001A40F1">
              <w:rPr>
                <w:bCs/>
              </w:rPr>
              <w:t xml:space="preserve"> a</w:t>
            </w:r>
            <w:r w:rsidR="003159C7">
              <w:rPr>
                <w:bCs/>
              </w:rPr>
              <w:t xml:space="preserve">tribuir </w:t>
            </w:r>
            <w:r w:rsidR="00A82F86">
              <w:rPr>
                <w:bCs/>
              </w:rPr>
              <w:t xml:space="preserve">a </w:t>
            </w:r>
            <w:r w:rsidR="003159C7">
              <w:rPr>
                <w:bCs/>
              </w:rPr>
              <w:t xml:space="preserve">obrigação </w:t>
            </w:r>
            <w:r w:rsidR="00A82F86">
              <w:rPr>
                <w:bCs/>
              </w:rPr>
              <w:t>da identificação do congestionamento contratual ao</w:t>
            </w:r>
            <w:r w:rsidR="003159C7">
              <w:rPr>
                <w:bCs/>
              </w:rPr>
              <w:t xml:space="preserve"> transportador</w:t>
            </w:r>
            <w:r w:rsidR="00A82F86">
              <w:rPr>
                <w:bCs/>
              </w:rPr>
              <w:t xml:space="preserve">, e não à ANP. O regulador </w:t>
            </w:r>
            <w:r w:rsidR="00F52298">
              <w:rPr>
                <w:bCs/>
              </w:rPr>
              <w:t xml:space="preserve">não opera o sistema de transporte e, por óbvio, </w:t>
            </w:r>
            <w:r w:rsidR="00796257">
              <w:rPr>
                <w:bCs/>
              </w:rPr>
              <w:t xml:space="preserve">teria maior dificuldade </w:t>
            </w:r>
            <w:r w:rsidR="00624108">
              <w:rPr>
                <w:bCs/>
              </w:rPr>
              <w:t xml:space="preserve">na identificação das práticas de congestionamento contratual. Por isso, é mais eficiente atribuir este dever ao agente que possui </w:t>
            </w:r>
            <w:r w:rsidR="006041EC">
              <w:rPr>
                <w:bCs/>
              </w:rPr>
              <w:t>todas as informações e pode tomar ações mais diligentes.</w:t>
            </w:r>
            <w:r w:rsidR="00F45DA2">
              <w:rPr>
                <w:bCs/>
              </w:rPr>
              <w:t xml:space="preserve"> </w:t>
            </w:r>
          </w:p>
          <w:p w14:paraId="21DEDA76" w14:textId="410D6ABD" w:rsidR="003159C7" w:rsidRDefault="0075585D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75585D">
              <w:rPr>
                <w:bCs/>
                <w:u w:val="single"/>
              </w:rPr>
              <w:t>Calendário de ofertas</w:t>
            </w:r>
            <w:r>
              <w:rPr>
                <w:bCs/>
              </w:rPr>
              <w:t xml:space="preserve">.  </w:t>
            </w:r>
            <w:r w:rsidR="00D1564C">
              <w:rPr>
                <w:bCs/>
              </w:rPr>
              <w:t xml:space="preserve">Incluímos o dever à ANP em definir um calendário de oferta de capacidade. A previsibilidade </w:t>
            </w:r>
            <w:r w:rsidR="00003B75">
              <w:rPr>
                <w:bCs/>
              </w:rPr>
              <w:t xml:space="preserve">na contratação de transporte é condição </w:t>
            </w:r>
            <w:proofErr w:type="spellStart"/>
            <w:r w:rsidR="00003B75">
              <w:rPr>
                <w:bCs/>
              </w:rPr>
              <w:t>sine</w:t>
            </w:r>
            <w:proofErr w:type="spellEnd"/>
            <w:r w:rsidR="00003B75">
              <w:rPr>
                <w:bCs/>
              </w:rPr>
              <w:t xml:space="preserve"> </w:t>
            </w:r>
            <w:proofErr w:type="spellStart"/>
            <w:r w:rsidR="00003B75">
              <w:rPr>
                <w:bCs/>
              </w:rPr>
              <w:t>qua</w:t>
            </w:r>
            <w:proofErr w:type="spellEnd"/>
            <w:r w:rsidR="00003B75">
              <w:rPr>
                <w:bCs/>
              </w:rPr>
              <w:t xml:space="preserve"> non para abertura do mercado. Hoje há grande </w:t>
            </w:r>
            <w:r w:rsidR="00945BFA">
              <w:rPr>
                <w:bCs/>
              </w:rPr>
              <w:t xml:space="preserve">dificuldade dos agentes se planejarem (especialmente os consumidores potencialmente livres) para realizar </w:t>
            </w:r>
            <w:r w:rsidR="0081247C">
              <w:rPr>
                <w:bCs/>
              </w:rPr>
              <w:t xml:space="preserve">a contratação de capacidade, obedecendo os requisitos de migração ao mercado livre. Dessa forma, um calendário de oferta deve ser </w:t>
            </w:r>
            <w:r w:rsidR="007B785E">
              <w:rPr>
                <w:bCs/>
              </w:rPr>
              <w:t>definido o quanto antes pelo regulador.</w:t>
            </w:r>
          </w:p>
          <w:p w14:paraId="7D6FABDE" w14:textId="22E3F5CB" w:rsidR="002B3162" w:rsidRPr="00AA34D0" w:rsidRDefault="005002BD" w:rsidP="002B3162">
            <w:pPr>
              <w:numPr>
                <w:ilvl w:val="0"/>
                <w:numId w:val="5"/>
              </w:numPr>
              <w:jc w:val="both"/>
              <w:rPr>
                <w:bCs/>
                <w:u w:val="single"/>
              </w:rPr>
            </w:pPr>
            <w:r w:rsidRPr="00AA34D0">
              <w:rPr>
                <w:bCs/>
                <w:u w:val="single"/>
              </w:rPr>
              <w:t>P</w:t>
            </w:r>
            <w:r w:rsidR="002B3162" w:rsidRPr="00AA34D0">
              <w:rPr>
                <w:bCs/>
                <w:u w:val="single"/>
              </w:rPr>
              <w:t>razo mínimo de antecedência da oferta para contratos de longo prazo</w:t>
            </w:r>
            <w:r w:rsidR="00AA34D0">
              <w:rPr>
                <w:bCs/>
                <w:u w:val="single"/>
              </w:rPr>
              <w:t>.</w:t>
            </w:r>
            <w:r w:rsidR="00AA34D0">
              <w:rPr>
                <w:bCs/>
              </w:rPr>
              <w:t xml:space="preserve"> O calendário de ofertas deve ser estabelecido de forma a </w:t>
            </w:r>
            <w:r w:rsidR="00B761F1">
              <w:rPr>
                <w:bCs/>
              </w:rPr>
              <w:t xml:space="preserve">garantir antecedência mínima </w:t>
            </w:r>
            <w:r w:rsidR="009C29F7">
              <w:rPr>
                <w:bCs/>
              </w:rPr>
              <w:t xml:space="preserve">de </w:t>
            </w:r>
            <w:r w:rsidR="009B64BF">
              <w:rPr>
                <w:bCs/>
              </w:rPr>
              <w:t>3</w:t>
            </w:r>
            <w:r w:rsidR="009C29F7">
              <w:rPr>
                <w:bCs/>
              </w:rPr>
              <w:t xml:space="preserve"> meses para entre a contratação da capacidade e o início do serviço. Este prazo </w:t>
            </w:r>
            <w:r w:rsidR="001D13BC">
              <w:rPr>
                <w:bCs/>
              </w:rPr>
              <w:t xml:space="preserve">obedece </w:t>
            </w:r>
            <w:r w:rsidR="00C56E9D">
              <w:rPr>
                <w:bCs/>
              </w:rPr>
              <w:t xml:space="preserve">a referência das </w:t>
            </w:r>
            <w:r w:rsidR="000C39DB">
              <w:rPr>
                <w:bCs/>
              </w:rPr>
              <w:t xml:space="preserve">regulações estaduais para aviso à migração do consumidor ao mercado livre. Desta forma, </w:t>
            </w:r>
            <w:r w:rsidR="00836288">
              <w:rPr>
                <w:bCs/>
              </w:rPr>
              <w:t xml:space="preserve">para haver possibilidade de contratação de capacidade pelo consumidor livre, é necessário </w:t>
            </w:r>
            <w:r w:rsidR="001E0DB9">
              <w:rPr>
                <w:bCs/>
              </w:rPr>
              <w:t xml:space="preserve">que as ofertas </w:t>
            </w:r>
            <w:r w:rsidR="00C72E3D">
              <w:rPr>
                <w:bCs/>
              </w:rPr>
              <w:t xml:space="preserve">tenham antecedência mínima de </w:t>
            </w:r>
            <w:r w:rsidR="009B64BF">
              <w:rPr>
                <w:bCs/>
              </w:rPr>
              <w:t>3</w:t>
            </w:r>
            <w:r w:rsidR="00C72E3D">
              <w:rPr>
                <w:bCs/>
              </w:rPr>
              <w:t xml:space="preserve"> meses.</w:t>
            </w:r>
          </w:p>
          <w:p w14:paraId="5AFADFA2" w14:textId="52CFCC91" w:rsidR="003159C7" w:rsidRPr="0015156E" w:rsidRDefault="0079402D" w:rsidP="002B3162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79402D">
              <w:rPr>
                <w:bCs/>
                <w:u w:val="single"/>
              </w:rPr>
              <w:t>T</w:t>
            </w:r>
            <w:r w:rsidR="003159C7" w:rsidRPr="0079402D">
              <w:rPr>
                <w:bCs/>
                <w:u w:val="single"/>
              </w:rPr>
              <w:t>este econômico, pela ANP, para autorização de expansões</w:t>
            </w:r>
            <w:r>
              <w:rPr>
                <w:bCs/>
              </w:rPr>
              <w:t xml:space="preserve">. </w:t>
            </w:r>
            <w:r w:rsidR="001E2CA7">
              <w:rPr>
                <w:bCs/>
              </w:rPr>
              <w:t xml:space="preserve">Inclusão da premissa </w:t>
            </w:r>
            <w:r w:rsidR="005B65ED">
              <w:rPr>
                <w:bCs/>
              </w:rPr>
              <w:t xml:space="preserve">de </w:t>
            </w:r>
            <w:r w:rsidR="001757B3">
              <w:rPr>
                <w:bCs/>
              </w:rPr>
              <w:t xml:space="preserve">colocar em consulta pública, juntamente com a proposta tarifária do transportador, os critérios para o </w:t>
            </w:r>
            <w:r w:rsidR="005B65ED">
              <w:rPr>
                <w:bCs/>
              </w:rPr>
              <w:t>teste econômico</w:t>
            </w:r>
            <w:r w:rsidR="001757B3">
              <w:rPr>
                <w:bCs/>
              </w:rPr>
              <w:t xml:space="preserve">, de forma que fique claro </w:t>
            </w:r>
            <w:r w:rsidR="00304C01">
              <w:rPr>
                <w:bCs/>
              </w:rPr>
              <w:t>as condições para viabilidade da expansão.</w:t>
            </w:r>
          </w:p>
        </w:tc>
      </w:tr>
    </w:tbl>
    <w:p w14:paraId="0563FC69" w14:textId="77777777" w:rsidR="00E32489" w:rsidRDefault="00E32489" w:rsidP="00E32489">
      <w:pPr>
        <w:jc w:val="center"/>
        <w:rPr>
          <w:rFonts w:eastAsia="Arial Unicode MS"/>
          <w:sz w:val="24"/>
          <w:szCs w:val="24"/>
        </w:rPr>
      </w:pPr>
    </w:p>
    <w:p w14:paraId="67D6FB18" w14:textId="77777777" w:rsidR="00E32489" w:rsidRDefault="00E32489" w:rsidP="00E32489">
      <w:pPr>
        <w:jc w:val="center"/>
        <w:rPr>
          <w:rFonts w:eastAsia="Arial Unicode MS"/>
          <w:sz w:val="24"/>
          <w:szCs w:val="24"/>
        </w:rPr>
      </w:pPr>
    </w:p>
    <w:p w14:paraId="3D6BB557" w14:textId="77777777" w:rsidR="00E32489" w:rsidRPr="0068215E" w:rsidRDefault="00E32489" w:rsidP="00E32489">
      <w:pPr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ORIENTAÇÕES</w:t>
      </w:r>
      <w:r w:rsidRPr="0015156E">
        <w:rPr>
          <w:b/>
          <w:bCs/>
          <w:sz w:val="24"/>
          <w:szCs w:val="24"/>
        </w:rPr>
        <w:t>:</w:t>
      </w:r>
    </w:p>
    <w:p w14:paraId="68189A7A" w14:textId="77777777" w:rsidR="00E32489" w:rsidRPr="0015156E" w:rsidRDefault="00E32489" w:rsidP="00E32489">
      <w:pPr>
        <w:numPr>
          <w:ilvl w:val="0"/>
          <w:numId w:val="4"/>
        </w:numPr>
        <w:spacing w:after="120"/>
        <w:ind w:left="0" w:firstLine="0"/>
        <w:jc w:val="both"/>
        <w:rPr>
          <w:sz w:val="24"/>
          <w:szCs w:val="24"/>
        </w:rPr>
      </w:pPr>
      <w:r w:rsidRPr="0015156E">
        <w:rPr>
          <w:sz w:val="24"/>
          <w:szCs w:val="24"/>
        </w:rPr>
        <w:t xml:space="preserve">Este formulário deverá ser encaminhado à ANP para o endereço eletrônico </w:t>
      </w:r>
      <w:hyperlink r:id="rId12" w:history="1">
        <w:r w:rsidRPr="00CA5ED3">
          <w:rPr>
            <w:b/>
            <w:bCs/>
            <w:sz w:val="24"/>
            <w:szCs w:val="24"/>
          </w:rPr>
          <w:t>scl@anp.gov.br</w:t>
        </w:r>
      </w:hyperlink>
      <w:r>
        <w:rPr>
          <w:sz w:val="24"/>
          <w:szCs w:val="24"/>
        </w:rPr>
        <w:t xml:space="preserve">, em conjunto com </w:t>
      </w:r>
      <w:r w:rsidRPr="0015156E">
        <w:rPr>
          <w:sz w:val="24"/>
          <w:szCs w:val="24"/>
        </w:rPr>
        <w:t xml:space="preserve">estudos, relatórios </w:t>
      </w:r>
      <w:r>
        <w:rPr>
          <w:sz w:val="24"/>
          <w:szCs w:val="24"/>
        </w:rPr>
        <w:t xml:space="preserve">ou outros documentos que referenciem as informações apresentadas e </w:t>
      </w:r>
      <w:r w:rsidRPr="0015156E">
        <w:rPr>
          <w:sz w:val="24"/>
          <w:szCs w:val="24"/>
        </w:rPr>
        <w:t>que considere necessários para subsidiar a análise de suas contribuições</w:t>
      </w:r>
      <w:r>
        <w:rPr>
          <w:sz w:val="24"/>
          <w:szCs w:val="24"/>
        </w:rPr>
        <w:t>.</w:t>
      </w:r>
    </w:p>
    <w:p w14:paraId="12EB2C4A" w14:textId="77777777" w:rsidR="00E32489" w:rsidRPr="00CA5ED3" w:rsidRDefault="00E32489" w:rsidP="00E32489">
      <w:pPr>
        <w:numPr>
          <w:ilvl w:val="0"/>
          <w:numId w:val="4"/>
        </w:numPr>
        <w:spacing w:after="120"/>
        <w:ind w:left="0" w:firstLine="0"/>
        <w:jc w:val="both"/>
        <w:rPr>
          <w:sz w:val="24"/>
          <w:szCs w:val="24"/>
        </w:rPr>
      </w:pPr>
      <w:r w:rsidRPr="00CA5ED3">
        <w:rPr>
          <w:sz w:val="24"/>
          <w:szCs w:val="24"/>
        </w:rPr>
        <w:t xml:space="preserve">A consulta pública será realizada pelo período de </w:t>
      </w:r>
      <w:r w:rsidR="00A25AFD">
        <w:rPr>
          <w:sz w:val="24"/>
          <w:szCs w:val="24"/>
        </w:rPr>
        <w:t>45</w:t>
      </w:r>
      <w:r w:rsidRPr="00CA5ED3">
        <w:rPr>
          <w:sz w:val="24"/>
          <w:szCs w:val="24"/>
        </w:rPr>
        <w:t xml:space="preserve"> (</w:t>
      </w:r>
      <w:r w:rsidR="00A25AFD">
        <w:rPr>
          <w:sz w:val="24"/>
          <w:szCs w:val="24"/>
        </w:rPr>
        <w:t>quarenta e cinco</w:t>
      </w:r>
      <w:r w:rsidRPr="00CA5ED3">
        <w:rPr>
          <w:sz w:val="24"/>
          <w:szCs w:val="24"/>
        </w:rPr>
        <w:t>) dias, contados a partir da publicação do aviso no Diário Oficial da União, excluindo-se da contagem o dia do começo e incluindo-se o do vencimento.</w:t>
      </w:r>
    </w:p>
    <w:p w14:paraId="630ED0EC" w14:textId="77777777" w:rsidR="00B16411" w:rsidRDefault="00B16411" w:rsidP="00155BC8">
      <w:pPr>
        <w:spacing w:after="120"/>
        <w:jc w:val="both"/>
        <w:rPr>
          <w:sz w:val="26"/>
          <w:szCs w:val="26"/>
        </w:rPr>
      </w:pPr>
    </w:p>
    <w:sectPr w:rsidR="00B16411" w:rsidSect="00971FCB">
      <w:footerReference w:type="default" r:id="rId13"/>
      <w:pgSz w:w="16840" w:h="11907" w:orient="landscape" w:code="9"/>
      <w:pgMar w:top="426" w:right="1418" w:bottom="426" w:left="1418" w:header="993" w:footer="3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65B31" w14:textId="77777777" w:rsidR="001F4266" w:rsidRDefault="001F4266" w:rsidP="00791263">
      <w:r>
        <w:separator/>
      </w:r>
    </w:p>
  </w:endnote>
  <w:endnote w:type="continuationSeparator" w:id="0">
    <w:p w14:paraId="40343E8B" w14:textId="77777777" w:rsidR="001F4266" w:rsidRDefault="001F4266" w:rsidP="0079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6D0F" w14:textId="77777777" w:rsidR="004C599B" w:rsidRDefault="004C599B" w:rsidP="004C599B">
    <w:pPr>
      <w:pStyle w:val="Rodap"/>
      <w:ind w:left="12744"/>
    </w:pPr>
    <w:r>
      <w:t xml:space="preserve">        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5A544" w14:textId="77777777" w:rsidR="001F4266" w:rsidRDefault="001F4266" w:rsidP="00791263">
      <w:r>
        <w:separator/>
      </w:r>
    </w:p>
  </w:footnote>
  <w:footnote w:type="continuationSeparator" w:id="0">
    <w:p w14:paraId="0C380B46" w14:textId="77777777" w:rsidR="001F4266" w:rsidRDefault="001F4266" w:rsidP="00791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2720E"/>
    <w:multiLevelType w:val="hybridMultilevel"/>
    <w:tmpl w:val="E85EEDAE"/>
    <w:lvl w:ilvl="0" w:tplc="61EE871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8917B0"/>
    <w:multiLevelType w:val="hybridMultilevel"/>
    <w:tmpl w:val="A9AA5C7A"/>
    <w:lvl w:ilvl="0" w:tplc="FC748654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C396225"/>
    <w:multiLevelType w:val="hybridMultilevel"/>
    <w:tmpl w:val="FAC88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871138">
    <w:abstractNumId w:val="1"/>
  </w:num>
  <w:num w:numId="2" w16cid:durableId="509835744">
    <w:abstractNumId w:val="3"/>
  </w:num>
  <w:num w:numId="3" w16cid:durableId="1636570100">
    <w:abstractNumId w:val="0"/>
  </w:num>
  <w:num w:numId="4" w16cid:durableId="859513782">
    <w:abstractNumId w:val="2"/>
  </w:num>
  <w:num w:numId="5" w16cid:durableId="5966692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2C"/>
    <w:rsid w:val="00000540"/>
    <w:rsid w:val="00000F38"/>
    <w:rsid w:val="00003B75"/>
    <w:rsid w:val="000101A7"/>
    <w:rsid w:val="00014435"/>
    <w:rsid w:val="00016DEA"/>
    <w:rsid w:val="00023E7A"/>
    <w:rsid w:val="000303C4"/>
    <w:rsid w:val="000304DE"/>
    <w:rsid w:val="00033A11"/>
    <w:rsid w:val="00050AE6"/>
    <w:rsid w:val="00062985"/>
    <w:rsid w:val="000636A6"/>
    <w:rsid w:val="00070C31"/>
    <w:rsid w:val="0008334F"/>
    <w:rsid w:val="000873C6"/>
    <w:rsid w:val="000A2510"/>
    <w:rsid w:val="000B37F3"/>
    <w:rsid w:val="000B43F8"/>
    <w:rsid w:val="000C39DB"/>
    <w:rsid w:val="000C742C"/>
    <w:rsid w:val="000E06A3"/>
    <w:rsid w:val="000F43D7"/>
    <w:rsid w:val="000F52FA"/>
    <w:rsid w:val="00100689"/>
    <w:rsid w:val="00101490"/>
    <w:rsid w:val="00102AE3"/>
    <w:rsid w:val="0011495D"/>
    <w:rsid w:val="0011702A"/>
    <w:rsid w:val="00120794"/>
    <w:rsid w:val="0012337B"/>
    <w:rsid w:val="0012708E"/>
    <w:rsid w:val="0013088B"/>
    <w:rsid w:val="001429CA"/>
    <w:rsid w:val="00146EFE"/>
    <w:rsid w:val="0015156E"/>
    <w:rsid w:val="0015208B"/>
    <w:rsid w:val="00155BC8"/>
    <w:rsid w:val="00166D4F"/>
    <w:rsid w:val="001726FE"/>
    <w:rsid w:val="001757B3"/>
    <w:rsid w:val="0018555A"/>
    <w:rsid w:val="00185C06"/>
    <w:rsid w:val="001A321F"/>
    <w:rsid w:val="001A40F1"/>
    <w:rsid w:val="001B6C23"/>
    <w:rsid w:val="001C1783"/>
    <w:rsid w:val="001C2D8E"/>
    <w:rsid w:val="001C58DB"/>
    <w:rsid w:val="001D13BC"/>
    <w:rsid w:val="001D400B"/>
    <w:rsid w:val="001D52DF"/>
    <w:rsid w:val="001E0DB9"/>
    <w:rsid w:val="001E2CA7"/>
    <w:rsid w:val="001E6907"/>
    <w:rsid w:val="001E7355"/>
    <w:rsid w:val="001F2996"/>
    <w:rsid w:val="001F4266"/>
    <w:rsid w:val="001F74A0"/>
    <w:rsid w:val="00203F2F"/>
    <w:rsid w:val="00204008"/>
    <w:rsid w:val="00207DA0"/>
    <w:rsid w:val="002109D6"/>
    <w:rsid w:val="00223CAE"/>
    <w:rsid w:val="00226778"/>
    <w:rsid w:val="00227F45"/>
    <w:rsid w:val="00237E7F"/>
    <w:rsid w:val="00246786"/>
    <w:rsid w:val="0026582D"/>
    <w:rsid w:val="002808DC"/>
    <w:rsid w:val="00287B41"/>
    <w:rsid w:val="00294F21"/>
    <w:rsid w:val="002A00CA"/>
    <w:rsid w:val="002A42D3"/>
    <w:rsid w:val="002B3162"/>
    <w:rsid w:val="002B4339"/>
    <w:rsid w:val="002D1886"/>
    <w:rsid w:val="002D5DEB"/>
    <w:rsid w:val="002D60E6"/>
    <w:rsid w:val="002F483B"/>
    <w:rsid w:val="002F4CCC"/>
    <w:rsid w:val="00304C01"/>
    <w:rsid w:val="00304EEA"/>
    <w:rsid w:val="003159C7"/>
    <w:rsid w:val="003208EC"/>
    <w:rsid w:val="0032761C"/>
    <w:rsid w:val="00331EC8"/>
    <w:rsid w:val="0035579A"/>
    <w:rsid w:val="00361E27"/>
    <w:rsid w:val="00362324"/>
    <w:rsid w:val="00364A5F"/>
    <w:rsid w:val="003664E4"/>
    <w:rsid w:val="00371A4B"/>
    <w:rsid w:val="00371B4B"/>
    <w:rsid w:val="00386BE9"/>
    <w:rsid w:val="003A3CDA"/>
    <w:rsid w:val="003A633B"/>
    <w:rsid w:val="003B0F55"/>
    <w:rsid w:val="003B4FE1"/>
    <w:rsid w:val="003C665F"/>
    <w:rsid w:val="003D767E"/>
    <w:rsid w:val="00400A33"/>
    <w:rsid w:val="0041766E"/>
    <w:rsid w:val="004213EE"/>
    <w:rsid w:val="0042203B"/>
    <w:rsid w:val="00426A1D"/>
    <w:rsid w:val="00452F8E"/>
    <w:rsid w:val="004602FD"/>
    <w:rsid w:val="00462FA9"/>
    <w:rsid w:val="004672A0"/>
    <w:rsid w:val="00471191"/>
    <w:rsid w:val="0047247A"/>
    <w:rsid w:val="00477D7D"/>
    <w:rsid w:val="00482F43"/>
    <w:rsid w:val="004B78BA"/>
    <w:rsid w:val="004C599B"/>
    <w:rsid w:val="004D3010"/>
    <w:rsid w:val="004D43D8"/>
    <w:rsid w:val="004D7649"/>
    <w:rsid w:val="004F4404"/>
    <w:rsid w:val="004F4515"/>
    <w:rsid w:val="004F4E82"/>
    <w:rsid w:val="005002BD"/>
    <w:rsid w:val="0050145B"/>
    <w:rsid w:val="00507745"/>
    <w:rsid w:val="00507A3C"/>
    <w:rsid w:val="0051029A"/>
    <w:rsid w:val="00510A46"/>
    <w:rsid w:val="005178C6"/>
    <w:rsid w:val="005219B2"/>
    <w:rsid w:val="0053235F"/>
    <w:rsid w:val="00532A3A"/>
    <w:rsid w:val="00536905"/>
    <w:rsid w:val="005403F4"/>
    <w:rsid w:val="00543CD6"/>
    <w:rsid w:val="005562EB"/>
    <w:rsid w:val="00563864"/>
    <w:rsid w:val="00570C4C"/>
    <w:rsid w:val="00586DD3"/>
    <w:rsid w:val="005A0A75"/>
    <w:rsid w:val="005A7E5E"/>
    <w:rsid w:val="005B3DA9"/>
    <w:rsid w:val="005B65ED"/>
    <w:rsid w:val="005C1B1A"/>
    <w:rsid w:val="005C61D0"/>
    <w:rsid w:val="005C647E"/>
    <w:rsid w:val="005C6AC1"/>
    <w:rsid w:val="005E48E0"/>
    <w:rsid w:val="005E5615"/>
    <w:rsid w:val="005F6818"/>
    <w:rsid w:val="005F699C"/>
    <w:rsid w:val="006041EC"/>
    <w:rsid w:val="00607DF1"/>
    <w:rsid w:val="00615685"/>
    <w:rsid w:val="00624108"/>
    <w:rsid w:val="00624AE2"/>
    <w:rsid w:val="00631898"/>
    <w:rsid w:val="00635131"/>
    <w:rsid w:val="00642B01"/>
    <w:rsid w:val="006554A4"/>
    <w:rsid w:val="00677F9B"/>
    <w:rsid w:val="0068215E"/>
    <w:rsid w:val="006869FD"/>
    <w:rsid w:val="00692896"/>
    <w:rsid w:val="006A1227"/>
    <w:rsid w:val="006A279D"/>
    <w:rsid w:val="006B0604"/>
    <w:rsid w:val="006B3A55"/>
    <w:rsid w:val="006C7878"/>
    <w:rsid w:val="006E5F76"/>
    <w:rsid w:val="006F2523"/>
    <w:rsid w:val="00702CAD"/>
    <w:rsid w:val="0071550B"/>
    <w:rsid w:val="00727CAA"/>
    <w:rsid w:val="00734657"/>
    <w:rsid w:val="00735912"/>
    <w:rsid w:val="00742BDB"/>
    <w:rsid w:val="0074351D"/>
    <w:rsid w:val="007453AB"/>
    <w:rsid w:val="0075585D"/>
    <w:rsid w:val="007609B6"/>
    <w:rsid w:val="00762754"/>
    <w:rsid w:val="00762D6D"/>
    <w:rsid w:val="00771749"/>
    <w:rsid w:val="007760C9"/>
    <w:rsid w:val="007837E3"/>
    <w:rsid w:val="007866F9"/>
    <w:rsid w:val="0078705B"/>
    <w:rsid w:val="00790A29"/>
    <w:rsid w:val="00791263"/>
    <w:rsid w:val="0079145F"/>
    <w:rsid w:val="0079402D"/>
    <w:rsid w:val="00796257"/>
    <w:rsid w:val="007975EE"/>
    <w:rsid w:val="007B4717"/>
    <w:rsid w:val="007B785E"/>
    <w:rsid w:val="007C7095"/>
    <w:rsid w:val="007E0E10"/>
    <w:rsid w:val="007E5133"/>
    <w:rsid w:val="007E7E71"/>
    <w:rsid w:val="00811B5D"/>
    <w:rsid w:val="0081247C"/>
    <w:rsid w:val="00814A68"/>
    <w:rsid w:val="008265A0"/>
    <w:rsid w:val="00836288"/>
    <w:rsid w:val="0083633F"/>
    <w:rsid w:val="008437F8"/>
    <w:rsid w:val="00844CF0"/>
    <w:rsid w:val="00851AD7"/>
    <w:rsid w:val="0085243A"/>
    <w:rsid w:val="00852D24"/>
    <w:rsid w:val="00856954"/>
    <w:rsid w:val="00860E69"/>
    <w:rsid w:val="00862B93"/>
    <w:rsid w:val="00870A88"/>
    <w:rsid w:val="008809CF"/>
    <w:rsid w:val="008862C4"/>
    <w:rsid w:val="008907AA"/>
    <w:rsid w:val="00895D12"/>
    <w:rsid w:val="008A2340"/>
    <w:rsid w:val="008A2D46"/>
    <w:rsid w:val="008B28C4"/>
    <w:rsid w:val="008C0A6C"/>
    <w:rsid w:val="008D2CF2"/>
    <w:rsid w:val="008D5DC4"/>
    <w:rsid w:val="008E1D4F"/>
    <w:rsid w:val="008F3505"/>
    <w:rsid w:val="008F7193"/>
    <w:rsid w:val="00900350"/>
    <w:rsid w:val="009036B5"/>
    <w:rsid w:val="00912491"/>
    <w:rsid w:val="00916255"/>
    <w:rsid w:val="00917C4E"/>
    <w:rsid w:val="0092765E"/>
    <w:rsid w:val="00943F06"/>
    <w:rsid w:val="00945BFA"/>
    <w:rsid w:val="00946DC6"/>
    <w:rsid w:val="009472BE"/>
    <w:rsid w:val="00950062"/>
    <w:rsid w:val="00951F8D"/>
    <w:rsid w:val="0096054E"/>
    <w:rsid w:val="00967742"/>
    <w:rsid w:val="00971FCB"/>
    <w:rsid w:val="00973A64"/>
    <w:rsid w:val="00985410"/>
    <w:rsid w:val="00992FE7"/>
    <w:rsid w:val="00994175"/>
    <w:rsid w:val="0099720F"/>
    <w:rsid w:val="009A2B13"/>
    <w:rsid w:val="009A7203"/>
    <w:rsid w:val="009B64BF"/>
    <w:rsid w:val="009B6A8F"/>
    <w:rsid w:val="009C2229"/>
    <w:rsid w:val="009C29F7"/>
    <w:rsid w:val="009C6099"/>
    <w:rsid w:val="009C7720"/>
    <w:rsid w:val="009D3BB3"/>
    <w:rsid w:val="009D5E1F"/>
    <w:rsid w:val="009E5AD5"/>
    <w:rsid w:val="00A150A4"/>
    <w:rsid w:val="00A25AFD"/>
    <w:rsid w:val="00A3639F"/>
    <w:rsid w:val="00A56343"/>
    <w:rsid w:val="00A70707"/>
    <w:rsid w:val="00A7232B"/>
    <w:rsid w:val="00A826B2"/>
    <w:rsid w:val="00A82F86"/>
    <w:rsid w:val="00A94E85"/>
    <w:rsid w:val="00AA1CCC"/>
    <w:rsid w:val="00AA34D0"/>
    <w:rsid w:val="00AC3B37"/>
    <w:rsid w:val="00AD09E2"/>
    <w:rsid w:val="00AD0D80"/>
    <w:rsid w:val="00AD1504"/>
    <w:rsid w:val="00AD4D27"/>
    <w:rsid w:val="00AD4D7C"/>
    <w:rsid w:val="00AD6820"/>
    <w:rsid w:val="00AF5201"/>
    <w:rsid w:val="00B00AC3"/>
    <w:rsid w:val="00B03603"/>
    <w:rsid w:val="00B04BDF"/>
    <w:rsid w:val="00B0777F"/>
    <w:rsid w:val="00B13402"/>
    <w:rsid w:val="00B16411"/>
    <w:rsid w:val="00B32C8D"/>
    <w:rsid w:val="00B34DD3"/>
    <w:rsid w:val="00B355A4"/>
    <w:rsid w:val="00B36317"/>
    <w:rsid w:val="00B41AE1"/>
    <w:rsid w:val="00B454EB"/>
    <w:rsid w:val="00B517D2"/>
    <w:rsid w:val="00B6216D"/>
    <w:rsid w:val="00B7416E"/>
    <w:rsid w:val="00B74C89"/>
    <w:rsid w:val="00B761F1"/>
    <w:rsid w:val="00B91359"/>
    <w:rsid w:val="00BA23E1"/>
    <w:rsid w:val="00BA343A"/>
    <w:rsid w:val="00BA7569"/>
    <w:rsid w:val="00BB004F"/>
    <w:rsid w:val="00BC5BB1"/>
    <w:rsid w:val="00BC6BF6"/>
    <w:rsid w:val="00BD23AA"/>
    <w:rsid w:val="00BD25DB"/>
    <w:rsid w:val="00BD51A4"/>
    <w:rsid w:val="00BD5993"/>
    <w:rsid w:val="00BE443A"/>
    <w:rsid w:val="00BE71AD"/>
    <w:rsid w:val="00BF397A"/>
    <w:rsid w:val="00BF3DCC"/>
    <w:rsid w:val="00BF6D9A"/>
    <w:rsid w:val="00C01C05"/>
    <w:rsid w:val="00C056B6"/>
    <w:rsid w:val="00C13A89"/>
    <w:rsid w:val="00C354A2"/>
    <w:rsid w:val="00C413E0"/>
    <w:rsid w:val="00C47E28"/>
    <w:rsid w:val="00C56E9D"/>
    <w:rsid w:val="00C57D1C"/>
    <w:rsid w:val="00C67260"/>
    <w:rsid w:val="00C72E3D"/>
    <w:rsid w:val="00C82C61"/>
    <w:rsid w:val="00CA1007"/>
    <w:rsid w:val="00CA50AA"/>
    <w:rsid w:val="00CA5ED3"/>
    <w:rsid w:val="00CC11E6"/>
    <w:rsid w:val="00CC23F6"/>
    <w:rsid w:val="00CC415C"/>
    <w:rsid w:val="00CD60C8"/>
    <w:rsid w:val="00CD7D9E"/>
    <w:rsid w:val="00CE7C5A"/>
    <w:rsid w:val="00CF2605"/>
    <w:rsid w:val="00CF4505"/>
    <w:rsid w:val="00CF487E"/>
    <w:rsid w:val="00CF534B"/>
    <w:rsid w:val="00D012F3"/>
    <w:rsid w:val="00D02BAB"/>
    <w:rsid w:val="00D060D3"/>
    <w:rsid w:val="00D07D59"/>
    <w:rsid w:val="00D13B37"/>
    <w:rsid w:val="00D1564C"/>
    <w:rsid w:val="00D164AD"/>
    <w:rsid w:val="00D17050"/>
    <w:rsid w:val="00D1730B"/>
    <w:rsid w:val="00D235D9"/>
    <w:rsid w:val="00D4342B"/>
    <w:rsid w:val="00D44976"/>
    <w:rsid w:val="00D55708"/>
    <w:rsid w:val="00D604AD"/>
    <w:rsid w:val="00D6416B"/>
    <w:rsid w:val="00D65F18"/>
    <w:rsid w:val="00D81594"/>
    <w:rsid w:val="00D833AA"/>
    <w:rsid w:val="00D873D2"/>
    <w:rsid w:val="00D91BC6"/>
    <w:rsid w:val="00DA5697"/>
    <w:rsid w:val="00DB72C9"/>
    <w:rsid w:val="00DB762E"/>
    <w:rsid w:val="00DD08DD"/>
    <w:rsid w:val="00DD2A4C"/>
    <w:rsid w:val="00DE4B1E"/>
    <w:rsid w:val="00DF024C"/>
    <w:rsid w:val="00DF7831"/>
    <w:rsid w:val="00DF7CE4"/>
    <w:rsid w:val="00E00C69"/>
    <w:rsid w:val="00E011E2"/>
    <w:rsid w:val="00E011E4"/>
    <w:rsid w:val="00E205A8"/>
    <w:rsid w:val="00E241A4"/>
    <w:rsid w:val="00E26027"/>
    <w:rsid w:val="00E32489"/>
    <w:rsid w:val="00E36311"/>
    <w:rsid w:val="00E51418"/>
    <w:rsid w:val="00E514F5"/>
    <w:rsid w:val="00E614C5"/>
    <w:rsid w:val="00E63476"/>
    <w:rsid w:val="00E756FB"/>
    <w:rsid w:val="00E75C06"/>
    <w:rsid w:val="00E9272B"/>
    <w:rsid w:val="00E974B3"/>
    <w:rsid w:val="00EA61D5"/>
    <w:rsid w:val="00EC2C01"/>
    <w:rsid w:val="00ED1526"/>
    <w:rsid w:val="00ED4D36"/>
    <w:rsid w:val="00ED7714"/>
    <w:rsid w:val="00EE1EB7"/>
    <w:rsid w:val="00EE463B"/>
    <w:rsid w:val="00EF29C1"/>
    <w:rsid w:val="00EF4AF3"/>
    <w:rsid w:val="00F12564"/>
    <w:rsid w:val="00F1449A"/>
    <w:rsid w:val="00F16318"/>
    <w:rsid w:val="00F22873"/>
    <w:rsid w:val="00F40573"/>
    <w:rsid w:val="00F45DA2"/>
    <w:rsid w:val="00F51844"/>
    <w:rsid w:val="00F51E87"/>
    <w:rsid w:val="00F52298"/>
    <w:rsid w:val="00F57B17"/>
    <w:rsid w:val="00F658D1"/>
    <w:rsid w:val="00F66623"/>
    <w:rsid w:val="00F7001F"/>
    <w:rsid w:val="00FA3722"/>
    <w:rsid w:val="00FB51FE"/>
    <w:rsid w:val="00FC20CB"/>
    <w:rsid w:val="00FC64A0"/>
    <w:rsid w:val="00FD2C11"/>
    <w:rsid w:val="00FE066D"/>
    <w:rsid w:val="00FF0EB2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F864B"/>
  <w15:docId w15:val="{951C61D3-D91A-4D41-B45C-988D80A5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uiPriority w:val="99"/>
    <w:unhideWhenUsed/>
    <w:rsid w:val="00100689"/>
    <w:rPr>
      <w:color w:val="0000FF"/>
      <w:u w:val="single"/>
    </w:rPr>
  </w:style>
  <w:style w:type="character" w:styleId="MenoPendente">
    <w:name w:val="Unresolved Mention"/>
    <w:uiPriority w:val="99"/>
    <w:semiHidden/>
    <w:unhideWhenUsed/>
    <w:rsid w:val="001D400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79126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91263"/>
  </w:style>
  <w:style w:type="paragraph" w:styleId="Rodap">
    <w:name w:val="footer"/>
    <w:basedOn w:val="Normal"/>
    <w:link w:val="RodapChar"/>
    <w:uiPriority w:val="99"/>
    <w:unhideWhenUsed/>
    <w:rsid w:val="0079126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1263"/>
  </w:style>
  <w:style w:type="table" w:styleId="Tabelacomgrade">
    <w:name w:val="Table Grid"/>
    <w:basedOn w:val="Tabelanormal"/>
    <w:uiPriority w:val="59"/>
    <w:rsid w:val="00155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D3BB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77174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71749"/>
  </w:style>
  <w:style w:type="character" w:customStyle="1" w:styleId="TextodecomentrioChar">
    <w:name w:val="Texto de comentário Char"/>
    <w:basedOn w:val="Fontepargpadro"/>
    <w:link w:val="Textodecomentrio"/>
    <w:uiPriority w:val="99"/>
    <w:rsid w:val="00771749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174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1749"/>
    <w:rPr>
      <w:b/>
      <w:bCs/>
    </w:rPr>
  </w:style>
  <w:style w:type="paragraph" w:styleId="Reviso">
    <w:name w:val="Revision"/>
    <w:hidden/>
    <w:uiPriority w:val="99"/>
    <w:semiHidden/>
    <w:rsid w:val="009B6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cl@anp.gov.b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E90DF06EF5844585FED3EDEB3161A8" ma:contentTypeVersion="14" ma:contentTypeDescription="Crie um novo documento." ma:contentTypeScope="" ma:versionID="ea8572ada890f532a8af2b3d53f7fa8b">
  <xsd:schema xmlns:xsd="http://www.w3.org/2001/XMLSchema" xmlns:xs="http://www.w3.org/2001/XMLSchema" xmlns:p="http://schemas.microsoft.com/office/2006/metadata/properties" xmlns:ns2="3accc9ae-ea8c-4766-8f37-1394d0190e18" xmlns:ns3="8458708b-1d80-4dc5-9b0d-651af5d7b9e1" targetNamespace="http://schemas.microsoft.com/office/2006/metadata/properties" ma:root="true" ma:fieldsID="b510348f8a05aa2d084e784629de1059" ns2:_="" ns3:_="">
    <xsd:import namespace="3accc9ae-ea8c-4766-8f37-1394d0190e18"/>
    <xsd:import namespace="8458708b-1d80-4dc5-9b0d-651af5d7b9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cc9ae-ea8c-4766-8f37-1394d0190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77d9b7c3-0bb8-4a20-8c97-3060226a1e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8708b-1d80-4dc5-9b0d-651af5d7b9e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73fc81-ee5d-4bfc-b6a1-e3cc4a17db36}" ma:internalName="TaxCatchAll" ma:showField="CatchAllData" ma:web="8458708b-1d80-4dc5-9b0d-651af5d7b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58708b-1d80-4dc5-9b0d-651af5d7b9e1" xsi:nil="true"/>
    <lcf76f155ced4ddcb4097134ff3c332f xmlns="3accc9ae-ea8c-4766-8f37-1394d0190e1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AAF75E-920E-4C7F-B8E1-F032595308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F852B-6719-41FA-9ED2-C6AD8EAA4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ccc9ae-ea8c-4766-8f37-1394d0190e18"/>
    <ds:schemaRef ds:uri="8458708b-1d80-4dc5-9b0d-651af5d7b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2184A-7E03-4656-82CE-E124A5E7E48A}">
  <ds:schemaRefs>
    <ds:schemaRef ds:uri="http://schemas.microsoft.com/office/2006/metadata/properties"/>
    <ds:schemaRef ds:uri="http://schemas.microsoft.com/office/infopath/2007/PartnerControls"/>
    <ds:schemaRef ds:uri="8458708b-1d80-4dc5-9b0d-651af5d7b9e1"/>
    <ds:schemaRef ds:uri="3accc9ae-ea8c-4766-8f37-1394d0190e18"/>
  </ds:schemaRefs>
</ds:datastoreItem>
</file>

<file path=customXml/itemProps4.xml><?xml version="1.0" encoding="utf-8"?>
<ds:datastoreItem xmlns:ds="http://schemas.openxmlformats.org/officeDocument/2006/customXml" ds:itemID="{864050BB-F271-4762-8529-71BE5E46D6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3967</Words>
  <Characters>21423</Characters>
  <Application>Microsoft Office Word</Application>
  <DocSecurity>4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25340</CharactersWithSpaces>
  <SharedDoc>false</SharedDoc>
  <HLinks>
    <vt:vector size="6" baseType="variant">
      <vt:variant>
        <vt:i4>2031720</vt:i4>
      </vt:variant>
      <vt:variant>
        <vt:i4>0</vt:i4>
      </vt:variant>
      <vt:variant>
        <vt:i4>0</vt:i4>
      </vt:variant>
      <vt:variant>
        <vt:i4>5</vt:i4>
      </vt:variant>
      <vt:variant>
        <vt:lpwstr>mailto:scl@anp.gov.br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subject/>
  <dc:creator>Anp</dc:creator>
  <cp:keywords/>
  <dc:description/>
  <cp:lastModifiedBy>Adrianno Farias Lorenzon</cp:lastModifiedBy>
  <cp:revision>2</cp:revision>
  <cp:lastPrinted>2010-12-28T17:08:00Z</cp:lastPrinted>
  <dcterms:created xsi:type="dcterms:W3CDTF">2023-09-20T17:49:00Z</dcterms:created>
  <dcterms:modified xsi:type="dcterms:W3CDTF">2023-09-20T17:49:00Z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0x01010051E90DF06EF5844585FED3EDEB3161A8</vt:lpwstr>
  </property>
</Properties>
</file>